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C900B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900B7" w:rsidRDefault="00E35299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00B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900B7" w:rsidRDefault="00E35299">
            <w:pPr>
              <w:pStyle w:val="ConsPlusTitlePage0"/>
              <w:jc w:val="center"/>
            </w:pPr>
            <w:r>
              <w:rPr>
                <w:sz w:val="48"/>
              </w:rPr>
              <w:t>Решение Совета Евразийской экономической комиссии от 02.07.2013 N 41</w:t>
            </w:r>
            <w:r>
              <w:rPr>
                <w:sz w:val="48"/>
              </w:rPr>
              <w:br/>
              <w:t>(ред. от 26.09.2025)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 техническом регламенте Таможенного союза "О безопасности оборудования, работающего под избыточным давлением"</w:t>
            </w:r>
            <w:r>
              <w:rPr>
                <w:sz w:val="48"/>
              </w:rPr>
              <w:br/>
              <w:t>(вместе с "ТР ТС 032/2013. Технический регламент Таможенного союза. О безопасности оборудования, работающего под избыточным давлением")</w:t>
            </w:r>
          </w:p>
        </w:tc>
      </w:tr>
      <w:tr w:rsidR="00C900B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900B7" w:rsidRDefault="00E35299">
            <w:pPr>
              <w:pStyle w:val="ConsPlusTitlePage0"/>
              <w:jc w:val="center"/>
            </w:pPr>
            <w:r>
              <w:rPr>
                <w:sz w:val="28"/>
              </w:rPr>
              <w:t>Докумен</w:t>
            </w:r>
            <w:r>
              <w:rPr>
                <w:sz w:val="28"/>
              </w:rPr>
              <w:t xml:space="preserve">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13.10.2026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C900B7" w:rsidRDefault="00C900B7">
      <w:pPr>
        <w:pStyle w:val="ConsPlusNormal0"/>
        <w:sectPr w:rsidR="00C900B7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C900B7" w:rsidRDefault="00C900B7">
      <w:pPr>
        <w:pStyle w:val="ConsPlusNormal0"/>
        <w:ind w:firstLine="540"/>
        <w:jc w:val="both"/>
        <w:outlineLvl w:val="0"/>
      </w:pPr>
    </w:p>
    <w:p w:rsidR="00C900B7" w:rsidRDefault="00E35299">
      <w:pPr>
        <w:pStyle w:val="ConsPlusTitle0"/>
        <w:jc w:val="center"/>
        <w:outlineLvl w:val="0"/>
      </w:pPr>
      <w:r>
        <w:t>СОВЕТ ЕВРАЗИЙСКОЙ ЭКОНОМИЧЕСКОЙ КОМИССИИ</w:t>
      </w:r>
    </w:p>
    <w:p w:rsidR="00C900B7" w:rsidRDefault="00C900B7">
      <w:pPr>
        <w:pStyle w:val="ConsPlusTitle0"/>
        <w:jc w:val="center"/>
      </w:pPr>
    </w:p>
    <w:p w:rsidR="00C900B7" w:rsidRDefault="00E35299">
      <w:pPr>
        <w:pStyle w:val="ConsPlusTitle0"/>
        <w:jc w:val="center"/>
      </w:pPr>
      <w:r>
        <w:t>РЕШЕНИЕ</w:t>
      </w:r>
    </w:p>
    <w:p w:rsidR="00C900B7" w:rsidRDefault="00E35299">
      <w:pPr>
        <w:pStyle w:val="ConsPlusTitle0"/>
        <w:jc w:val="center"/>
      </w:pPr>
      <w:r>
        <w:t>от 2 июля 2013 г. N 41</w:t>
      </w:r>
    </w:p>
    <w:p w:rsidR="00C900B7" w:rsidRDefault="00C900B7">
      <w:pPr>
        <w:pStyle w:val="ConsPlusTitle0"/>
        <w:jc w:val="center"/>
      </w:pPr>
    </w:p>
    <w:p w:rsidR="00C900B7" w:rsidRDefault="00E35299">
      <w:pPr>
        <w:pStyle w:val="ConsPlusTitle0"/>
        <w:jc w:val="center"/>
      </w:pPr>
      <w:r>
        <w:t>О ТЕХНИЧЕСКОМ РЕГЛАМЕНТЕ</w:t>
      </w:r>
    </w:p>
    <w:p w:rsidR="00C900B7" w:rsidRDefault="00E35299">
      <w:pPr>
        <w:pStyle w:val="ConsPlusTitle0"/>
        <w:jc w:val="center"/>
      </w:pPr>
      <w:r>
        <w:t>ТАМОЖЕННОГО СОЮЗА "О БЕЗОПАСНОСТИ ОБОРУДОВАНИЯ, РАБОТАЮЩЕГО</w:t>
      </w:r>
    </w:p>
    <w:p w:rsidR="00C900B7" w:rsidRDefault="00E35299">
      <w:pPr>
        <w:pStyle w:val="ConsPlusTitle0"/>
        <w:jc w:val="center"/>
      </w:pPr>
      <w:r>
        <w:t>ПОД ИЗБЫТОЧНЫМ ДАВЛЕНИЕМ"</w:t>
      </w:r>
    </w:p>
    <w:p w:rsidR="00C900B7" w:rsidRDefault="00C900B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900B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Совета Евразийской экономической комиссии</w:t>
            </w:r>
          </w:p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23.04.2021 </w:t>
            </w:r>
            <w:hyperlink r:id="rId9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 xml:space="preserve">, от 24.11.2023 </w:t>
            </w:r>
            <w:hyperlink r:id="rId10" w:tooltip="Решение Совета Евразийской экономической комиссии от 24.11.2023 N 137 &quot;О внесении изменений в некоторые решения Комиссии Таможенного союза и Совета Евразийской экономической комиссии&quot; {КонсультантПлюс}">
              <w:r>
                <w:rPr>
                  <w:color w:val="0000FF"/>
                </w:rPr>
                <w:t>N 137</w:t>
              </w:r>
            </w:hyperlink>
            <w:r>
              <w:rPr>
                <w:color w:val="392C69"/>
              </w:rPr>
              <w:t xml:space="preserve">, от 26.09.2025 </w:t>
            </w:r>
            <w:hyperlink r:id="rId11" w:tooltip="Решение Совета Евразийской экономической комиссии от 26.09.2025 N 107 &quot;О внесении изменений в некоторые решения Комиссии Таможенного союза и Совета Евразийской экономической комиссии&quot; {КонсультантПлюс}">
              <w:r>
                <w:rPr>
                  <w:color w:val="0000FF"/>
                </w:rPr>
                <w:t>N 107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</w:tr>
    </w:tbl>
    <w:p w:rsidR="00C900B7" w:rsidRDefault="00C900B7">
      <w:pPr>
        <w:pStyle w:val="ConsPlusNormal0"/>
        <w:jc w:val="center"/>
      </w:pPr>
    </w:p>
    <w:p w:rsidR="00C900B7" w:rsidRDefault="00E35299">
      <w:pPr>
        <w:pStyle w:val="ConsPlusNormal0"/>
        <w:ind w:firstLine="540"/>
        <w:jc w:val="both"/>
      </w:pPr>
      <w:r>
        <w:t xml:space="preserve">В соответствии со </w:t>
      </w:r>
      <w:hyperlink r:id="rId12" w:tooltip="&quot;Договор о Евразийской экономической комиссии&quot; (Подписан в г. Москве 18.11.2011) ------------ Утратил силу или отменен {КонсультантПлюс}">
        <w:r>
          <w:rPr>
            <w:color w:val="0000FF"/>
          </w:rPr>
          <w:t>статьей 3</w:t>
        </w:r>
      </w:hyperlink>
      <w:r>
        <w:t xml:space="preserve"> Договора о Евразийской экономической комиссии от 18 ноября 2011 года Совет Евразийской экономической комиссии реш</w:t>
      </w:r>
      <w:r>
        <w:t>ил: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1. Принять прилагаемый технический </w:t>
      </w:r>
      <w:hyperlink w:anchor="P42" w:tooltip="ТЕХНИЧЕСКИЙ РЕГЛАМЕНТ ТАМОЖЕННОГО СОЮЗА">
        <w:r>
          <w:rPr>
            <w:color w:val="0000FF"/>
          </w:rPr>
          <w:t>регламент</w:t>
        </w:r>
      </w:hyperlink>
      <w:r>
        <w:t xml:space="preserve"> Таможенного союза "О безопасности оборудования, работающего под избыточным давлением" (ТР ТС 032/2013).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2. Установить, что: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а) технический </w:t>
      </w:r>
      <w:hyperlink w:anchor="P42" w:tooltip="ТЕХНИЧЕСКИЙ РЕГЛАМЕНТ ТАМОЖЕННОГО СОЮЗА">
        <w:r>
          <w:rPr>
            <w:color w:val="0000FF"/>
          </w:rPr>
          <w:t>регламент</w:t>
        </w:r>
      </w:hyperlink>
      <w:r>
        <w:t xml:space="preserve"> Таможенного союза "О безопасности оборудования, работающего под избыточным давлением" (ТР ТС 032/2013) (далее - технический регламент) вступ</w:t>
      </w:r>
      <w:r>
        <w:t>ает в силу с 1 февраля 2014 г.;</w:t>
      </w:r>
    </w:p>
    <w:p w:rsidR="00C900B7" w:rsidRDefault="00E35299">
      <w:pPr>
        <w:pStyle w:val="ConsPlusNormal0"/>
        <w:spacing w:before="240"/>
        <w:ind w:firstLine="540"/>
        <w:jc w:val="both"/>
      </w:pPr>
      <w:bookmarkStart w:id="0" w:name="P17"/>
      <w:bookmarkEnd w:id="0"/>
      <w:r>
        <w:t xml:space="preserve">б) до 31 декабря 2028 г. на территории Российской Федерации допускаются установление и применение обязательных требований в отношении отдельных видов продукции, указанной в </w:t>
      </w:r>
      <w:hyperlink w:anchor="P62" w:tooltip="а) сосуды, предназначенные для сжатых, сжиженных, растворенных под давлением газов и паров, используемые для рабочих сред группы 1 и имеющие:">
        <w:r>
          <w:rPr>
            <w:color w:val="0000FF"/>
          </w:rPr>
          <w:t>подпунктах "а"</w:t>
        </w:r>
      </w:hyperlink>
      <w:r>
        <w:t xml:space="preserve"> - </w:t>
      </w:r>
      <w:hyperlink w:anchor="P102" w:tooltip="к) элементы оборудования (сборочные единицы) и комплектующие к нему, выдерживающие воздействие давления свыше 0,05 МПа;">
        <w:r>
          <w:rPr>
            <w:color w:val="0000FF"/>
          </w:rPr>
          <w:t>"к"</w:t>
        </w:r>
      </w:hyperlink>
      <w:r>
        <w:t xml:space="preserve"> (за исключением трубопроводов), </w:t>
      </w:r>
      <w:hyperlink w:anchor="P105" w:tooltip="м) показывающие и предохранительные устройства, за исключением устройств, отнесенных к средствам измерений;">
        <w:r>
          <w:rPr>
            <w:color w:val="0000FF"/>
          </w:rPr>
          <w:t>"м"</w:t>
        </w:r>
      </w:hyperlink>
      <w:r>
        <w:t xml:space="preserve"> и </w:t>
      </w:r>
      <w:hyperlink w:anchor="P108" w:tooltip="о) устройства и приборы безопасности.">
        <w:r>
          <w:rPr>
            <w:color w:val="0000FF"/>
          </w:rPr>
          <w:t>"о" пункта 2</w:t>
        </w:r>
      </w:hyperlink>
      <w:r>
        <w:t xml:space="preserve"> технического регламента, прои</w:t>
      </w:r>
      <w:r>
        <w:t>зведенной (изготовленной) на территориях государств, не являющихся государствами - членами Евразийского экономического союза, и ввозимой (ввезенной) на территорию Российской Федерации, а также проведение оценки соответствия такой продукции в соответствии с</w:t>
      </w:r>
      <w:r>
        <w:t xml:space="preserve"> нормативными правовыми актами Правительства Российской Федерации.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Выпуск в обращение продукции, указанной в </w:t>
      </w:r>
      <w:hyperlink w:anchor="P17" w:tooltip="б) до 31 декабря 2028 г. на территории Российской Федерации допускаются установление и применение обязательных требований в отношении отдельных видов продукции, указанной в подпунктах &quot;а&quot; - &quot;к&quot; (за исключением трубопроводов), &quot;м&quot; и &quot;о&quot; пункта 2 технического ре">
        <w:r>
          <w:rPr>
            <w:color w:val="0000FF"/>
          </w:rPr>
          <w:t>абзаце первом</w:t>
        </w:r>
      </w:hyperlink>
      <w:r>
        <w:t xml:space="preserve"> настоящего подпункта, допускается при условии обеспечения ее безопасности и только на тер</w:t>
      </w:r>
      <w:r>
        <w:t>ритории Российской Федерации. В отношении указанной продукции не допускается оформление документов об оценке соответствия, предусмотренных техническим регламентом. Информация о том, что продукция выпускается в обращение и может обращаться только на террито</w:t>
      </w:r>
      <w:r>
        <w:t xml:space="preserve">рии Российской Федерации, указывается в паспорте такой продукции и документе об оценке соответствия обязательным требованиям, установленным в соответствии с </w:t>
      </w:r>
      <w:hyperlink w:anchor="P17" w:tooltip="б) до 31 декабря 2028 г. на территории Российской Федерации допускаются установление и применение обязательных требований в отношении отдельных видов продукции, указанной в подпунктах &quot;а&quot; - &quot;к&quot; (за исключением трубопроводов), &quot;м&quot; и &quot;о&quot; пункта 2 технического ре">
        <w:r>
          <w:rPr>
            <w:color w:val="0000FF"/>
          </w:rPr>
          <w:t>абзацем первым</w:t>
        </w:r>
      </w:hyperlink>
      <w:r>
        <w:t xml:space="preserve"> настоящего подпункта.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Продукция, указанн</w:t>
      </w:r>
      <w:r>
        <w:t xml:space="preserve">ая в </w:t>
      </w:r>
      <w:hyperlink w:anchor="P17" w:tooltip="б) до 31 декабря 2028 г. на территории Российской Федерации допускаются установление и применение обязательных требований в отношении отдельных видов продукции, указанной в подпунктах &quot;а&quot; - &quot;к&quot; (за исключением трубопроводов), &quot;м&quot; и &quot;о&quot; пункта 2 технического ре">
        <w:r>
          <w:rPr>
            <w:color w:val="0000FF"/>
          </w:rPr>
          <w:t>абзаце первом</w:t>
        </w:r>
      </w:hyperlink>
      <w:r>
        <w:t xml:space="preserve"> настоящего подпункта, не маркируется единым знаком обращения продукции на рынке Евразийского экономического союза.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Осуществление прав владения, пользования и (или) распоряжения продукцией, указ</w:t>
      </w:r>
      <w:r>
        <w:t xml:space="preserve">анной в </w:t>
      </w:r>
      <w:hyperlink w:anchor="P17" w:tooltip="б) до 31 декабря 2028 г. на территории Российской Федерации допускаются установление и применение обязательных требований в отношении отдельных видов продукции, указанной в подпунктах &quot;а&quot; - &quot;к&quot; (за исключением трубопроводов), &quot;м&quot; и &quot;о&quot; пункта 2 технического ре">
        <w:r>
          <w:rPr>
            <w:color w:val="0000FF"/>
          </w:rPr>
          <w:t>абзаце первом</w:t>
        </w:r>
      </w:hyperlink>
      <w:r>
        <w:t xml:space="preserve"> настоящего подпункта, не допускается на территориях государств - членов </w:t>
      </w:r>
      <w:r>
        <w:lastRenderedPageBreak/>
        <w:t>Евразийского экономического союза, за исключением Российской Федерации.</w:t>
      </w:r>
    </w:p>
    <w:p w:rsidR="00C900B7" w:rsidRDefault="00E35299">
      <w:pPr>
        <w:pStyle w:val="ConsPlusNormal0"/>
        <w:jc w:val="both"/>
      </w:pPr>
      <w:r>
        <w:t xml:space="preserve">(п. 2 в ред. </w:t>
      </w:r>
      <w:hyperlink r:id="rId13" w:tooltip="Решение Совета Евразийской экономической комиссии от 26.09.2025 N 107 &quot;О внесении изменений в некоторые решения Комиссии Таможенного союза и Совета Евразийской экономической комиссии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26.09.2025 N 107)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3. Настоящее Решение вступает в силу по истечении 30 календарных дней с даты его официального опубликования.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jc w:val="center"/>
      </w:pPr>
      <w:r>
        <w:t xml:space="preserve">Члены Совета Евразийской экономической </w:t>
      </w:r>
      <w:r>
        <w:t>комиссии:</w:t>
      </w:r>
    </w:p>
    <w:p w:rsidR="00C900B7" w:rsidRDefault="00C900B7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4"/>
        <w:gridCol w:w="3004"/>
        <w:gridCol w:w="3061"/>
      </w:tblGrid>
      <w:tr w:rsidR="00C900B7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От Республики Беларусь</w:t>
            </w:r>
          </w:p>
          <w:p w:rsidR="00C900B7" w:rsidRDefault="00E35299">
            <w:pPr>
              <w:pStyle w:val="ConsPlusNormal0"/>
              <w:jc w:val="center"/>
            </w:pPr>
            <w:r>
              <w:t>С.РУМАС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От Республики Казахстан</w:t>
            </w:r>
          </w:p>
          <w:p w:rsidR="00C900B7" w:rsidRDefault="00E35299">
            <w:pPr>
              <w:pStyle w:val="ConsPlusNormal0"/>
              <w:jc w:val="center"/>
            </w:pPr>
            <w:r>
              <w:t>К.КЕЛИМБЕТОВ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От Российской Федерации</w:t>
            </w:r>
          </w:p>
          <w:p w:rsidR="00C900B7" w:rsidRDefault="00E35299">
            <w:pPr>
              <w:pStyle w:val="ConsPlusNormal0"/>
              <w:jc w:val="center"/>
            </w:pPr>
            <w:r>
              <w:t>И.ШУВАЛОВ</w:t>
            </w:r>
          </w:p>
        </w:tc>
      </w:tr>
    </w:tbl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jc w:val="right"/>
        <w:outlineLvl w:val="0"/>
      </w:pPr>
      <w:r>
        <w:t>Принят</w:t>
      </w:r>
    </w:p>
    <w:p w:rsidR="00C900B7" w:rsidRDefault="00E35299">
      <w:pPr>
        <w:pStyle w:val="ConsPlusNormal0"/>
        <w:jc w:val="right"/>
      </w:pPr>
      <w:r>
        <w:t>Решением Совета</w:t>
      </w:r>
    </w:p>
    <w:p w:rsidR="00C900B7" w:rsidRDefault="00E35299">
      <w:pPr>
        <w:pStyle w:val="ConsPlusNormal0"/>
        <w:jc w:val="right"/>
      </w:pPr>
      <w:r>
        <w:t>Евразийской экономической комиссии</w:t>
      </w:r>
    </w:p>
    <w:p w:rsidR="00C900B7" w:rsidRDefault="00E35299">
      <w:pPr>
        <w:pStyle w:val="ConsPlusNormal0"/>
        <w:jc w:val="right"/>
      </w:pPr>
      <w:r>
        <w:t>от 2 июля 2013 г. N 41</w:t>
      </w:r>
    </w:p>
    <w:p w:rsidR="00C900B7" w:rsidRDefault="00C900B7">
      <w:pPr>
        <w:pStyle w:val="ConsPlusNormal0"/>
        <w:jc w:val="center"/>
      </w:pPr>
    </w:p>
    <w:p w:rsidR="00C900B7" w:rsidRDefault="00E35299">
      <w:pPr>
        <w:pStyle w:val="ConsPlusTitle0"/>
        <w:jc w:val="center"/>
      </w:pPr>
      <w:bookmarkStart w:id="1" w:name="P42"/>
      <w:bookmarkEnd w:id="1"/>
      <w:r>
        <w:t>ТЕХНИЧЕСКИЙ РЕГЛАМЕНТ ТАМОЖЕННОГО СОЮЗА</w:t>
      </w:r>
    </w:p>
    <w:p w:rsidR="00C900B7" w:rsidRDefault="00C900B7">
      <w:pPr>
        <w:pStyle w:val="ConsPlusTitle0"/>
        <w:jc w:val="center"/>
      </w:pPr>
    </w:p>
    <w:p w:rsidR="00C900B7" w:rsidRDefault="00E35299">
      <w:pPr>
        <w:pStyle w:val="ConsPlusTitle0"/>
        <w:jc w:val="center"/>
      </w:pPr>
      <w:r>
        <w:t>ТР ТС 032/2013</w:t>
      </w:r>
    </w:p>
    <w:p w:rsidR="00C900B7" w:rsidRDefault="00C900B7">
      <w:pPr>
        <w:pStyle w:val="ConsPlusTitle0"/>
        <w:jc w:val="center"/>
      </w:pPr>
    </w:p>
    <w:p w:rsidR="00C900B7" w:rsidRDefault="00E35299">
      <w:pPr>
        <w:pStyle w:val="ConsPlusTitle0"/>
        <w:jc w:val="center"/>
      </w:pPr>
      <w:r>
        <w:t>О БЕЗОПАСНОСТИ ОБОРУДОВАНИЯ, РАБОТАЮЩЕГО</w:t>
      </w:r>
    </w:p>
    <w:p w:rsidR="00C900B7" w:rsidRDefault="00E35299">
      <w:pPr>
        <w:pStyle w:val="ConsPlusTitle0"/>
        <w:jc w:val="center"/>
      </w:pPr>
      <w:r>
        <w:t>ПОД ИЗБЫТОЧНЫМ ДАВЛЕНИЕМ</w:t>
      </w:r>
    </w:p>
    <w:p w:rsidR="00C900B7" w:rsidRDefault="00C900B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900B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Совета Евразийской экономической комиссии</w:t>
            </w:r>
          </w:p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23.04.2021 </w:t>
            </w:r>
            <w:hyperlink r:id="rId1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 xml:space="preserve">, от 24.11.2023 </w:t>
            </w:r>
            <w:hyperlink r:id="rId15" w:tooltip="Решение Совета Евразийской экономической комиссии от 24.11.2023 N 137 &quot;О внесении изменений в некоторые решения Комиссии Таможенного союза и Совета Евразийской экономической комиссии&quot; {КонсультантПлюс}">
              <w:r>
                <w:rPr>
                  <w:color w:val="0000FF"/>
                </w:rPr>
                <w:t>N 137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</w:tr>
    </w:tbl>
    <w:p w:rsidR="00C900B7" w:rsidRDefault="00C900B7">
      <w:pPr>
        <w:pStyle w:val="ConsPlusNormal0"/>
        <w:jc w:val="center"/>
      </w:pPr>
    </w:p>
    <w:p w:rsidR="00C900B7" w:rsidRDefault="00E35299">
      <w:pPr>
        <w:pStyle w:val="ConsPlusNormal0"/>
        <w:ind w:firstLine="540"/>
        <w:jc w:val="both"/>
      </w:pPr>
      <w:r>
        <w:t xml:space="preserve">Абзац исключен. - </w:t>
      </w:r>
      <w:hyperlink r:id="rId16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</w:t>
        </w:r>
      </w:hyperlink>
      <w:r>
        <w:t xml:space="preserve"> Совета Евразийской экономической комиссии от 23.04.2021 N 49.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Настоящий технический регламент устанавливает обязательные для применения и исполн</w:t>
      </w:r>
      <w:r>
        <w:t>ения на таможенной территории Евразийского экономического союза (далее - Союз) единые требования безопасности к оборудованию, работающему под избыточным давлением, выпускаемому в обращение и предназначенному для применения на таможенной территории Союза (д</w:t>
      </w:r>
      <w:r>
        <w:t>алее - оборудование).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Если в отношении оборудования приняты иные техниче</w:t>
      </w:r>
      <w:r>
        <w:t>ские регламенты Союза (Таможенного союза), устанавливающие требования к нему, то такое оборудование должно соответствовать также требованиям этих технических регламентов Союза (Таможенного союза).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Title0"/>
        <w:jc w:val="center"/>
        <w:outlineLvl w:val="1"/>
      </w:pPr>
      <w:r>
        <w:lastRenderedPageBreak/>
        <w:t>I. Область применения</w:t>
      </w:r>
    </w:p>
    <w:p w:rsidR="00C900B7" w:rsidRDefault="00C900B7">
      <w:pPr>
        <w:pStyle w:val="ConsPlusNormal0"/>
        <w:jc w:val="center"/>
      </w:pPr>
    </w:p>
    <w:p w:rsidR="00C900B7" w:rsidRDefault="00E35299">
      <w:pPr>
        <w:pStyle w:val="ConsPlusNormal0"/>
        <w:ind w:firstLine="540"/>
        <w:jc w:val="both"/>
      </w:pPr>
      <w:r>
        <w:t>1. Настоящий технический регламент устанавливает требования безопасности к оборудованию при разработке (проектировании), производстве (изготовлении), а также требования к маркировке оборудования в целях защиты жизни и здоровья человека, имущества, предупре</w:t>
      </w:r>
      <w:r>
        <w:t>ждения действий, вводящих в заблуждение потребителей.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2. Настоящий технический регламент распространяется на следующие виды оборудования:</w:t>
      </w:r>
    </w:p>
    <w:p w:rsidR="00C900B7" w:rsidRDefault="00E35299">
      <w:pPr>
        <w:pStyle w:val="ConsPlusNormal0"/>
        <w:spacing w:before="240"/>
        <w:ind w:firstLine="540"/>
        <w:jc w:val="both"/>
      </w:pPr>
      <w:bookmarkStart w:id="2" w:name="P62"/>
      <w:bookmarkEnd w:id="2"/>
      <w:r>
        <w:t>а) сосуды, предназначенные для сжатых, сжиженных, растворенных под давлением газов и паров, используемые для рабочих с</w:t>
      </w:r>
      <w:r>
        <w:t>ред группы 1 и имеющие: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9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расчетное давление свыше 0,05 МПа, вместимость б</w:t>
      </w:r>
      <w:r>
        <w:t>олее 0,001 м</w:t>
      </w:r>
      <w:r>
        <w:rPr>
          <w:vertAlign w:val="superscript"/>
        </w:rPr>
        <w:t>3</w:t>
      </w:r>
      <w:r>
        <w:t xml:space="preserve"> и произведение значения расчетного давления на значение вместимости, составляющее свыше 0,0025 МПа·м</w:t>
      </w:r>
      <w:r>
        <w:rPr>
          <w:vertAlign w:val="superscript"/>
        </w:rPr>
        <w:t>3</w:t>
      </w:r>
      <w:r>
        <w:t>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2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</w:t>
      </w:r>
      <w:r>
        <w:t>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расчетное давление свыше 20 МПа, вместимость свыше 0,0001 м</w:t>
      </w:r>
      <w:r>
        <w:rPr>
          <w:vertAlign w:val="superscript"/>
        </w:rPr>
        <w:t>3</w:t>
      </w:r>
      <w:r>
        <w:t xml:space="preserve"> до 0,001 м</w:t>
      </w:r>
      <w:r>
        <w:rPr>
          <w:vertAlign w:val="superscript"/>
        </w:rPr>
        <w:t>3</w:t>
      </w:r>
      <w:r>
        <w:t xml:space="preserve"> включительно.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21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</w:t>
      </w:r>
      <w:r>
        <w:t>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Категории сосудов, предназначенных для газов и используемых для рабочих сред группы 1, приведены в </w:t>
      </w:r>
      <w:hyperlink w:anchor="P589" w:tooltip="Категории сосудов, предназначенных для сжатых, сжиженных,">
        <w:r>
          <w:rPr>
            <w:color w:val="0000FF"/>
          </w:rPr>
          <w:t>таблице</w:t>
        </w:r>
        <w:r>
          <w:rPr>
            <w:color w:val="0000FF"/>
          </w:rPr>
          <w:t xml:space="preserve"> 1</w:t>
        </w:r>
      </w:hyperlink>
      <w:r>
        <w:t xml:space="preserve"> приложения N 1 к настоящему техническому регламенту;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сосуды, предназначенные для сжатых, сжиженных, растворенных под давлением газов и паров, используемые для рабочих сред группы 2 и имеющие: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22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расчетное давление свыше 0,05 МПа, вместимость более 0,001 м</w:t>
      </w:r>
      <w:r>
        <w:rPr>
          <w:vertAlign w:val="superscript"/>
        </w:rPr>
        <w:t>3</w:t>
      </w:r>
      <w:r>
        <w:t xml:space="preserve"> и произведение значения расчетного давления на значение вместимости,</w:t>
      </w:r>
      <w:r>
        <w:t xml:space="preserve"> составляющее свыше 0,005 МПа·м</w:t>
      </w:r>
      <w:r>
        <w:rPr>
          <w:vertAlign w:val="superscript"/>
        </w:rPr>
        <w:t>3</w:t>
      </w:r>
      <w:r>
        <w:t>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23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расчетное давление свыше 100 МПа, вместимость свыше 0,0001 м</w:t>
      </w:r>
      <w:r>
        <w:rPr>
          <w:vertAlign w:val="superscript"/>
        </w:rPr>
        <w:t>3</w:t>
      </w:r>
      <w:r>
        <w:t xml:space="preserve"> до 0,001 м</w:t>
      </w:r>
      <w:r>
        <w:rPr>
          <w:vertAlign w:val="superscript"/>
        </w:rPr>
        <w:t>3</w:t>
      </w:r>
      <w:r>
        <w:t xml:space="preserve"> включите</w:t>
      </w:r>
      <w:r>
        <w:t>льно.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2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Категории сосудов, предназначенных для газов и используемых для ра</w:t>
      </w:r>
      <w:r>
        <w:t xml:space="preserve">бочих сред группы 2, приведены в </w:t>
      </w:r>
      <w:hyperlink w:anchor="P634" w:tooltip="Категории сосудов, предназначенных для сжатых, сжиженных,">
        <w:r>
          <w:rPr>
            <w:color w:val="0000FF"/>
          </w:rPr>
          <w:t>таблице 2</w:t>
        </w:r>
      </w:hyperlink>
      <w:r>
        <w:t xml:space="preserve"> приложения N 1 к настоящему техническому регламенту;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сосуды, предназначенные для жидкостей, используемые для рабочих сре</w:t>
      </w:r>
      <w:r>
        <w:t>д группы 1 и имеющие: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расчетное давление свыше 0,05 МПа, вместимость более 0,001 м</w:t>
      </w:r>
      <w:r>
        <w:rPr>
          <w:vertAlign w:val="superscript"/>
        </w:rPr>
        <w:t>3</w:t>
      </w:r>
      <w:r>
        <w:t xml:space="preserve"> и произведение значения расчетного давления на значение вместимости, составляющее свыше 0,02 МПа·м</w:t>
      </w:r>
      <w:r>
        <w:rPr>
          <w:vertAlign w:val="superscript"/>
        </w:rPr>
        <w:t>3</w:t>
      </w:r>
      <w:r>
        <w:t>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25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расчетное давление свыше 50 МПа, вместимость свыше 0,0001 м</w:t>
      </w:r>
      <w:r>
        <w:rPr>
          <w:vertAlign w:val="superscript"/>
        </w:rPr>
        <w:t>3</w:t>
      </w:r>
      <w:r>
        <w:t xml:space="preserve"> до 0,001 м</w:t>
      </w:r>
      <w:r>
        <w:rPr>
          <w:vertAlign w:val="superscript"/>
        </w:rPr>
        <w:t>3</w:t>
      </w:r>
      <w:r>
        <w:t xml:space="preserve"> включительно.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26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Категории сосудов, предназначенных для жидкостей и используемых для рабочих сред </w:t>
      </w:r>
      <w:r>
        <w:lastRenderedPageBreak/>
        <w:t xml:space="preserve">группы 1, приведены в </w:t>
      </w:r>
      <w:hyperlink w:anchor="P689" w:tooltip="Категории сосудов, предназначенных для жидкостей">
        <w:r>
          <w:rPr>
            <w:color w:val="0000FF"/>
          </w:rPr>
          <w:t>таблице 3</w:t>
        </w:r>
      </w:hyperlink>
      <w:r>
        <w:t xml:space="preserve"> приложения N 1 к настоящему техническому регламенту;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сосуды, предназначенные для жидкостей, используемые для рабочих сред группы 2 и имеющие: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расчетное давление свыше 1 МПа, вместимость более 0,01 м</w:t>
      </w:r>
      <w:r>
        <w:rPr>
          <w:vertAlign w:val="superscript"/>
        </w:rPr>
        <w:t>3</w:t>
      </w:r>
      <w:r>
        <w:t xml:space="preserve"> и произведение значения расчетного давления на значение вместимости, составляющее свыше 1 МПа·м</w:t>
      </w:r>
      <w:r>
        <w:rPr>
          <w:vertAlign w:val="superscript"/>
        </w:rPr>
        <w:t>3</w:t>
      </w:r>
      <w:r>
        <w:t>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2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расчетное давление свыше 100 МПа, вместимость свыше 0,0001 м</w:t>
      </w:r>
      <w:r>
        <w:rPr>
          <w:vertAlign w:val="superscript"/>
        </w:rPr>
        <w:t>3</w:t>
      </w:r>
      <w:r>
        <w:t xml:space="preserve"> до 0,01 м</w:t>
      </w:r>
      <w:r>
        <w:rPr>
          <w:vertAlign w:val="superscript"/>
        </w:rPr>
        <w:t>3</w:t>
      </w:r>
      <w:r>
        <w:t xml:space="preserve"> включительно.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2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Категории сосудов, предназначенных для жидкостей и используемых для рабочих сред группы 2, приведены в </w:t>
      </w:r>
      <w:hyperlink w:anchor="P722" w:tooltip="Категории сосудов, предназначенных для жидкостей">
        <w:r>
          <w:rPr>
            <w:color w:val="0000FF"/>
          </w:rPr>
          <w:t>таблице 4</w:t>
        </w:r>
      </w:hyperlink>
      <w:r>
        <w:t xml:space="preserve"> приложения N 1 к настоящему техническому регламенту;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котлы,</w:t>
      </w:r>
      <w:r>
        <w:t xml:space="preserve"> имеющие вместимость более 0,002 м</w:t>
      </w:r>
      <w:r>
        <w:rPr>
          <w:vertAlign w:val="superscript"/>
        </w:rPr>
        <w:t>3</w:t>
      </w:r>
      <w:r>
        <w:t>, предназначенные для получения горячей воды, температура которой свыше 110 °C, или пара, избыточное давление которого свыше 0,05 МПа, а также сосуды с огневым обогревом, имеющие вместимость более 0,002 м</w:t>
      </w:r>
      <w:r>
        <w:rPr>
          <w:vertAlign w:val="superscript"/>
        </w:rPr>
        <w:t>3</w:t>
      </w:r>
      <w:r>
        <w:t>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Категории паро</w:t>
      </w:r>
      <w:r>
        <w:t xml:space="preserve">вых, водогрейных котлов и сосудов с огневым обогревом приведены в </w:t>
      </w:r>
      <w:hyperlink w:anchor="P750" w:tooltip="Категории паровых, водогрейных котлов и сосудов">
        <w:r>
          <w:rPr>
            <w:color w:val="0000FF"/>
          </w:rPr>
          <w:t>таблице 5</w:t>
        </w:r>
      </w:hyperlink>
      <w:r>
        <w:t xml:space="preserve"> приложения N 1 к настоящему техническому регламенту;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трубопроводы и арматура, имеющие расчетное д</w:t>
      </w:r>
      <w:r>
        <w:t>авление свыше 0,05 МПа, номинальный диаметр более 25 мм, предназначенные для сжатых, сжиженных, растворенных под давлением газов и паров и используемые для рабочих сред группы 1.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Категории трубопроводов и арматуры, предназначенных для сжатых, сжиженных, ра</w:t>
      </w:r>
      <w:r>
        <w:t xml:space="preserve">створенных под давлением газов и паров и используемых для рабочих сред группы 1, приведены в </w:t>
      </w:r>
      <w:hyperlink w:anchor="P796" w:tooltip="Категории трубопроводов и арматуры, предназначенных">
        <w:r>
          <w:rPr>
            <w:color w:val="0000FF"/>
          </w:rPr>
          <w:t>таблице 6</w:t>
        </w:r>
      </w:hyperlink>
      <w:r>
        <w:t xml:space="preserve"> приложения N 1 к настоящему техническому регламенту;</w:t>
      </w:r>
    </w:p>
    <w:p w:rsidR="00C900B7" w:rsidRDefault="00E35299">
      <w:pPr>
        <w:pStyle w:val="ConsPlusNormal0"/>
        <w:jc w:val="both"/>
      </w:pPr>
      <w:r>
        <w:t xml:space="preserve">(пп. "е" в ред. </w:t>
      </w:r>
      <w:hyperlink r:id="rId29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ж) трубопроводы и арматура, имеющие расчетное давление свыше 0,05 МПа, номинальн</w:t>
      </w:r>
      <w:r>
        <w:t>ый диаметр более 32 мм и произведение значения расчетного давления и значения номинального диаметра, составляющее свыше 100 МПа·мм, предназначенные для сжатых, сжиженных, растворенных под давлением газов и паров и используемые для рабочих сред группы 2.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Ка</w:t>
      </w:r>
      <w:r>
        <w:t xml:space="preserve">тегории трубопроводов и арматуры, предназначенных для сжатых, сжиженных, растворенных под давлением газов и паров и используемых для рабочих сред группы 2, приведены в </w:t>
      </w:r>
      <w:hyperlink w:anchor="P835" w:tooltip="Категории трубопроводов и арматуры, предназначенных">
        <w:r>
          <w:rPr>
            <w:color w:val="0000FF"/>
          </w:rPr>
          <w:t>табл</w:t>
        </w:r>
        <w:r>
          <w:rPr>
            <w:color w:val="0000FF"/>
          </w:rPr>
          <w:t>ице 7</w:t>
        </w:r>
      </w:hyperlink>
      <w:r>
        <w:t xml:space="preserve"> приложения N 1 к настоящему техническому регламенту;</w:t>
      </w:r>
    </w:p>
    <w:p w:rsidR="00C900B7" w:rsidRDefault="00E35299">
      <w:pPr>
        <w:pStyle w:val="ConsPlusNormal0"/>
        <w:jc w:val="both"/>
      </w:pPr>
      <w:r>
        <w:t xml:space="preserve">(пп. "ж" в ред. </w:t>
      </w:r>
      <w:hyperlink r:id="rId3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з) тр</w:t>
      </w:r>
      <w:r>
        <w:t xml:space="preserve">убопроводы и арматура, имеющие расчетное давление свыше 0,05 МПа, номинальный диаметр более 25 мм и произведение значения расчетного давления и значения номинального диаметра, составляющее свыше 200 МПа·мм, предназначенные для жидкостей и используемые для </w:t>
      </w:r>
      <w:r>
        <w:t>рабочих сред группы 1.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Категории трубопроводов и арматуры, предназначенных для жидкостей и используемых для рабочих сред группы 1, приведены в </w:t>
      </w:r>
      <w:hyperlink w:anchor="P874" w:tooltip="Категории трубопроводов и арматуры, предназначенных">
        <w:r>
          <w:rPr>
            <w:color w:val="0000FF"/>
          </w:rPr>
          <w:t>таблице 8</w:t>
        </w:r>
      </w:hyperlink>
      <w:r>
        <w:t xml:space="preserve"> приложения N 1 к на</w:t>
      </w:r>
      <w:r>
        <w:t xml:space="preserve">стоящему техническому </w:t>
      </w:r>
      <w:r>
        <w:lastRenderedPageBreak/>
        <w:t>регламенту;</w:t>
      </w:r>
    </w:p>
    <w:p w:rsidR="00C900B7" w:rsidRDefault="00E35299">
      <w:pPr>
        <w:pStyle w:val="ConsPlusNormal0"/>
        <w:jc w:val="both"/>
      </w:pPr>
      <w:r>
        <w:t xml:space="preserve">(пп. "з" в ред. </w:t>
      </w:r>
      <w:hyperlink r:id="rId31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и) трубопроводы и арматура, им</w:t>
      </w:r>
      <w:r>
        <w:t>еющие расчетное давление свыше 1 МПа, номинальный диаметр более 200 мм и произведение значения расчетного давления и значения номинального диаметра свыше 500 МПа·мм, предназначенные для жидкостей и используемые для рабочих сред группы 2.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Категории трубопро</w:t>
      </w:r>
      <w:r>
        <w:t xml:space="preserve">водов и арматуры, предназначенных для жидкостей и используемых для рабочих сред группы 2, приведены в </w:t>
      </w:r>
      <w:hyperlink w:anchor="P902" w:tooltip="Категории трубопроводов и арматуры, предназначенных">
        <w:r>
          <w:rPr>
            <w:color w:val="0000FF"/>
          </w:rPr>
          <w:t>таблице 9</w:t>
        </w:r>
      </w:hyperlink>
      <w:r>
        <w:t xml:space="preserve"> приложения N 1 к настоящему техническому регламенту;</w:t>
      </w:r>
    </w:p>
    <w:p w:rsidR="00C900B7" w:rsidRDefault="00E35299">
      <w:pPr>
        <w:pStyle w:val="ConsPlusNormal0"/>
        <w:jc w:val="both"/>
      </w:pPr>
      <w:r>
        <w:t>(пп. "и</w:t>
      </w:r>
      <w:r>
        <w:t xml:space="preserve">" в ред. </w:t>
      </w:r>
      <w:hyperlink r:id="rId32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bookmarkStart w:id="3" w:name="P102"/>
      <w:bookmarkEnd w:id="3"/>
      <w:r>
        <w:t>к) элементы оборудования (сборочные единицы) и комплектующие к нему, вы</w:t>
      </w:r>
      <w:r>
        <w:t>держивающие воздействие давления свыше 0,05 МПа;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33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л) исключен. - </w:t>
      </w:r>
      <w:hyperlink r:id="rId3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</w:t>
        </w:r>
      </w:hyperlink>
      <w:r>
        <w:t xml:space="preserve"> Совета Евразийской экономической комиссии от 23.04.2021 N 49;</w:t>
      </w:r>
    </w:p>
    <w:p w:rsidR="00C900B7" w:rsidRDefault="00E35299">
      <w:pPr>
        <w:pStyle w:val="ConsPlusNormal0"/>
        <w:spacing w:before="240"/>
        <w:ind w:firstLine="540"/>
        <w:jc w:val="both"/>
      </w:pPr>
      <w:bookmarkStart w:id="4" w:name="P105"/>
      <w:bookmarkEnd w:id="4"/>
      <w:r>
        <w:t>м) показывающие и предохранительные устройства, за исключением ус</w:t>
      </w:r>
      <w:r>
        <w:t>тройств, отнесенных к средствам измерений;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35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н) барокамеры (кроме одномест</w:t>
      </w:r>
      <w:r>
        <w:t>ных медицинских);</w:t>
      </w:r>
    </w:p>
    <w:p w:rsidR="00C900B7" w:rsidRDefault="00E35299">
      <w:pPr>
        <w:pStyle w:val="ConsPlusNormal0"/>
        <w:spacing w:before="240"/>
        <w:ind w:firstLine="540"/>
        <w:jc w:val="both"/>
      </w:pPr>
      <w:bookmarkStart w:id="5" w:name="P108"/>
      <w:bookmarkEnd w:id="5"/>
      <w:r>
        <w:t>о) устройства и приборы безопасности.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3. Настоящий технический регламент не распространяется на следующую продукцию: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магистральные трубопроводы, внутрипромысловые и местные распределительные трубопроводы, предназначенные для транспортирования газа, нефти и других продуктов, за исключением оборудования, используемого на станциях регулирования давления или на компрессор</w:t>
      </w:r>
      <w:r>
        <w:t>ных станциях;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сети газораспределения и сети газопотребления;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оборудование, специально сконструированное для использования в области атомной энергетики, оборудование, работающее с радиоактивной средой;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г) сосуды, работающие под давлением, создающимся </w:t>
      </w:r>
      <w:r>
        <w:t>при взрыве внутри них в соответствии с технологическим процессом или при горении в режиме самораспространяющегося высокотемпературного синтеза;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оборудование, специально сконструированное для использования на морских и речных судах и других плавучих сред</w:t>
      </w:r>
      <w:r>
        <w:t>ствах и объектах подводного применения;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тормозное оборудование подвижного состава железнодорожного транспорта, автотранспорта и иных средств передвижения;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ж) сосуды, специально сконструированные для использования на самолетах и иных летательных аппарата</w:t>
      </w:r>
      <w:r>
        <w:t>х;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з) оборудование оборонного назначения;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и) части машин, не представляющие собой самостоятельные сосуды (корпуса насосов или турбин, цилиндры двигателей паровых, гидравлических, внутреннего сгорания, воздушных машин и компрессоров);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к) медицинские одномес</w:t>
      </w:r>
      <w:r>
        <w:t>тные барокамеры;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л) оборудование с аэрозольными распылителями;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м) оболочки высоковольтного электрического оборудования (распределительных устройств, распределительных механизмов, трансформаторов и вращающихся электрических машин);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н) оболочки и кожуха элем</w:t>
      </w:r>
      <w:r>
        <w:t>ентов систем передачи электрической энергии (кабельной продукции электропитания и кабелей связи), работающие под избыточным давлением;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о) оборудование, изготовленное (произведенное) из неметаллической гибкой (эластичной) оболочки;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п) глушители шума выхлопа</w:t>
      </w:r>
      <w:r>
        <w:t xml:space="preserve"> или всасывания газов;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р) емкости или сифоны для газированных напитков;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с) сети для подачи, распределения и отвода воды с температурой 110 °C и менее, а также подводящие водоводы в гидросиловых установках и соответствующие детали оснащения;</w:t>
      </w:r>
    </w:p>
    <w:p w:rsidR="00C900B7" w:rsidRDefault="00E35299">
      <w:pPr>
        <w:pStyle w:val="ConsPlusNormal0"/>
        <w:jc w:val="both"/>
      </w:pPr>
      <w:r>
        <w:t>(пп. "с" введен</w:t>
      </w:r>
      <w:r>
        <w:t xml:space="preserve"> </w:t>
      </w:r>
      <w:hyperlink r:id="rId36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т) отопительные приборы и трубопроводы в системах водяного отопления зданий и </w:t>
      </w:r>
      <w:r>
        <w:t>сооружений;</w:t>
      </w:r>
    </w:p>
    <w:p w:rsidR="00C900B7" w:rsidRDefault="00E35299">
      <w:pPr>
        <w:pStyle w:val="ConsPlusNormal0"/>
        <w:jc w:val="both"/>
      </w:pPr>
      <w:r>
        <w:t xml:space="preserve">(пп. "т" введен </w:t>
      </w:r>
      <w:hyperlink r:id="rId3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у) оборудование и элементы оборудования для питания</w:t>
      </w:r>
      <w:r>
        <w:t xml:space="preserve"> двигателей газообразным топливом (компримированным природным газом, сжиженным нефтяным газом (или сжиженным углеводородным газом), сжиженным природным газом, диметиловым эфиром топливным), специально разработанные для использования на колесных транспортны</w:t>
      </w:r>
      <w:r>
        <w:t>х средствах, самоходных машинах, сельскохозяйственных и лесохозяйственных тракторах;</w:t>
      </w:r>
    </w:p>
    <w:p w:rsidR="00C900B7" w:rsidRDefault="00E35299">
      <w:pPr>
        <w:pStyle w:val="ConsPlusNormal0"/>
        <w:jc w:val="both"/>
      </w:pPr>
      <w:r>
        <w:t xml:space="preserve">(пп. "у" введен </w:t>
      </w:r>
      <w:hyperlink r:id="rId3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</w:t>
      </w:r>
      <w:r>
        <w:t xml:space="preserve">и от 23.04.2021 N 49; в ред. </w:t>
      </w:r>
      <w:hyperlink r:id="rId39" w:tooltip="Решение Совета Евразийской экономической комиссии от 24.11.2023 N 137 &quot;О внесении изменений в некоторые решения Комиссии Таможенного союза и Совета Евразийской экономической комиссии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24.11.2023 N 137)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ф) опорно-подвесные системы трубопроводов и их элементы.</w:t>
      </w:r>
    </w:p>
    <w:p w:rsidR="00C900B7" w:rsidRDefault="00E35299">
      <w:pPr>
        <w:pStyle w:val="ConsPlusNormal0"/>
        <w:jc w:val="both"/>
      </w:pPr>
      <w:r>
        <w:t xml:space="preserve">(пп. "ф" введен </w:t>
      </w:r>
      <w:hyperlink r:id="rId4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Title0"/>
        <w:jc w:val="center"/>
        <w:outlineLvl w:val="1"/>
      </w:pPr>
      <w:r>
        <w:t>II. Основные понятия</w:t>
      </w:r>
    </w:p>
    <w:p w:rsidR="00C900B7" w:rsidRDefault="00C900B7">
      <w:pPr>
        <w:pStyle w:val="ConsPlusNormal0"/>
        <w:jc w:val="center"/>
      </w:pPr>
    </w:p>
    <w:p w:rsidR="00C900B7" w:rsidRDefault="00E35299">
      <w:pPr>
        <w:pStyle w:val="ConsPlusNormal0"/>
        <w:ind w:firstLine="540"/>
        <w:jc w:val="both"/>
      </w:pPr>
      <w:r>
        <w:t xml:space="preserve">4. Для целей применения настоящего технического регламента используются понятия, установленные </w:t>
      </w:r>
      <w:hyperlink r:id="rId41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Протоколом</w:t>
        </w:r>
      </w:hyperlink>
      <w:r>
        <w:t xml:space="preserve"> о техническом регулировании в рамках Евразийского экономического союза (приложение N 9 к Договору о Евразийском экономичес</w:t>
      </w:r>
      <w:r>
        <w:t xml:space="preserve">ком союзе от 29 мая 2014 года), типовыми </w:t>
      </w:r>
      <w:hyperlink r:id="rId42" w:tooltip="Решение Совета Евразийской экономической комиссии от 18.04.2018 N 44 (ред. от 25.01.2023) &quot;О типовых схемах оценки соответствия&quot; {КонсультантПлюс}">
        <w:r>
          <w:rPr>
            <w:color w:val="0000FF"/>
          </w:rPr>
          <w:t>схемами</w:t>
        </w:r>
      </w:hyperlink>
      <w:r>
        <w:t xml:space="preserve"> оценки соответствия, утвержденными Решением Совета Евразийской экономической комиссии от 18 апреля 2018 г. N 44, а также понятия, которые означают следующее: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43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"арматура" - техническое устройство, устанавливаемое на трубопроводах, а также трубных элементах котлов и с</w:t>
      </w:r>
      <w:r>
        <w:t>осудов, предназначенное для управления (перекрытия, предотвращения обратного потока, регулирования, распределения, смешивания, разделения) потоком рабочей среды, в том числе путем изменения проходного сечения;</w:t>
      </w:r>
    </w:p>
    <w:p w:rsidR="00C900B7" w:rsidRDefault="00E35299">
      <w:pPr>
        <w:pStyle w:val="ConsPlusNormal0"/>
        <w:jc w:val="both"/>
      </w:pPr>
      <w:r>
        <w:t xml:space="preserve">(абзац введен </w:t>
      </w:r>
      <w:hyperlink r:id="rId4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"баллон" - сосуд, имеющий 1 или 2 горловины для установки вентилей, фланцев или штуцеров, предназначенный для т</w:t>
      </w:r>
      <w:r>
        <w:t>ранспортировки, хранения и использования сжатых, сжиженных или растворенных под давлением газов;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"барокамера" - сосуд, в котором создается пониженное и (или) повышенное давление, который оснащен приборами и оборудованием и в котором возможно размещение люд</w:t>
      </w:r>
      <w:r>
        <w:t>ей;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"бочка" - сосуд цилиндрической или другой формы, который возможно перекатывать с одного места на другое и ставить на торцы без дополнительных опор и который предназначен для транспортировки и хранения жидких и других веществ;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"ввод в эксплуатацию" - до</w:t>
      </w:r>
      <w:r>
        <w:t>кументально оформленное событие, фиксирующее готовность оборудования к применению (использованию);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"вместимость" - объем внутренней полости оборудования, определяемый по заданным на чертежах номинальным размерам;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"группа рабочих сред" - совокупность рабочи</w:t>
      </w:r>
      <w:r>
        <w:t>х сред, подразделенных на: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группу 1, включающую рабочие среды, состоящие из воспламеняющихся, окисляющих (кроме воздуха с содержанием кислорода, соответствующим естественному составу атмосферного воздуха), горючих, взрывчатых, токсичных и высокотоксичных г</w:t>
      </w:r>
      <w:r>
        <w:t>азов, жидкостей и паров в однофазном состоянии, а также их смесей;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45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групп</w:t>
      </w:r>
      <w:r>
        <w:t>у 2, включающую все прочие рабочие среды, которые не отнесены к группе 1;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"давление внутреннее", "давление наружное" - избыточное давление, действующее на внутренние или наружные поверхности стенки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"давление пробное" - избыточное давление, пр</w:t>
      </w:r>
      <w:r>
        <w:t>и котором производится испытание оборудования на прочность и плотность;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"давление рабочее" - максимальное избыточное давление, возникающее при нормальном протекании рабочего процесса;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абзац исключен. - </w:t>
      </w:r>
      <w:hyperlink r:id="rId46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</w:t>
        </w:r>
      </w:hyperlink>
      <w:r>
        <w:t xml:space="preserve"> Совета Евразийской экономической комиссии от 23.04.2021 N 49;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"давление расчетное" - давление, на которое производится расчет на прочность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"давление номинальное" - расчетное давление</w:t>
      </w:r>
      <w:r>
        <w:t xml:space="preserve"> при температуре 20 °C, используемое при расчете на прочность оборудования (арматуры, деталей и соединений трубопроводов и т.п.);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4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</w:t>
      </w:r>
      <w:r>
        <w:t>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"диаметр номинальный" - параметр, применяемый для трубопроводных систем и арматуры в качестве характеристики присоединяемых частей. Номинальный диаметр приблизительно равняется внутреннему диаметру </w:t>
      </w:r>
      <w:r>
        <w:t>присоединяемого трубопровода, выраженному в миллиметрах и соответствующему ближайшему значению из ряда чисел, принятых в установленном порядке, и указывается без обозначения размерности;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4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"идентификация оборудования" - процедура, посредством которой устанавливается тождественность характеристик оборудования признакам, предусмот</w:t>
      </w:r>
      <w:r>
        <w:t xml:space="preserve">ренным для данного оборудования (вида или группы оборудования) настоящим техническим регламентом, документами, указанными в </w:t>
      </w:r>
      <w:hyperlink w:anchor="P256" w:tooltip="16. Техническая документация, прилагаемая к оборудованию, включает в себя:">
        <w:r>
          <w:rPr>
            <w:color w:val="0000FF"/>
          </w:rPr>
          <w:t>пунктах 16</w:t>
        </w:r>
      </w:hyperlink>
      <w:r>
        <w:t xml:space="preserve"> и </w:t>
      </w:r>
      <w:hyperlink w:anchor="P470" w:tooltip="45. При проведении подтверждения соответствия заявитель формирует комплект документов на оборудование, который включает в себя:">
        <w:r>
          <w:rPr>
            <w:color w:val="0000FF"/>
          </w:rPr>
          <w:t>45</w:t>
        </w:r>
      </w:hyperlink>
      <w:r>
        <w:t xml:space="preserve"> настоящего технического регламента, и признакам, указанным в информации об оборудовании, и обес</w:t>
      </w:r>
      <w:r>
        <w:t>печивается возможность однозначного отнесения оборудования к объектам технического регулирования настоящего технического регламента;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49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</w:t>
      </w:r>
      <w:r>
        <w:t>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абзац исключен. - </w:t>
      </w:r>
      <w:hyperlink r:id="rId5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</w:t>
        </w:r>
      </w:hyperlink>
      <w:r>
        <w:t xml:space="preserve"> Совета Евразийской экономической комиссии от 23.04.2021 N 49;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"котел-утилизатор" - котел, в котором используется теплота отходящих горячих газов, выделенная при протекании технологических процессов, или при работе двигателей, или при дополнительном горении продуктов процесса и (или) добавочного топлива;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51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"котел энерготехнологический" - паровой или водогрейный котел (в том числе содорегене</w:t>
      </w:r>
      <w:r>
        <w:t>рационный), в топке которого осуществляется переработка технологических материалов;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"котел электродный" - паровой или водогрейный котел, в котором используется тепло, выделяемое при протекании электрического тока через воду;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"котел с электрообогревом" - па</w:t>
      </w:r>
      <w:r>
        <w:t>ровой или водогрейный котел, в котором используется тепло, выделяемое электронагревательными элементами;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"котел водогрейный" - устройство, предназначенное для нагрева воды, находящейся под давлением выше атмосферного и используемой в качестве теплоносителя</w:t>
      </w:r>
      <w:r>
        <w:t xml:space="preserve"> вне этого устройства;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"котел паровой" - устройство, предназначенное для выработки пара с давлением выше атмосферного, используемого вне этого устройства;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абзац исключен. - </w:t>
      </w:r>
      <w:hyperlink r:id="rId52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</w:t>
        </w:r>
      </w:hyperlink>
      <w:r>
        <w:t xml:space="preserve"> Совета Евразийской экономической комиссии от 23.04.2021 N 49;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"предельное состояние оборудования" - состояние оборудования, при котором его дальнейшая эксплуатация недопустима;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"применение по назначению" - использование обору</w:t>
      </w:r>
      <w:r>
        <w:t>дования в соответствии с его назначением и техническими характеристиками, указанными в технической документации изготовителя;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"производство серийное" - тип производства, характеризующийся изготовлением однородной продукции по типовым конструкторским решени</w:t>
      </w:r>
      <w:r>
        <w:t>ям и (или) применением типовых технологических процессов, связанных с неизменяющимися типами оборудования, в том числе на операциях сборки, для изготовления (производства) постоянно повторяющихся деталей оборудования независимо от типов их дальнейшей сборк</w:t>
      </w:r>
      <w:r>
        <w:t>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"ремонт оборудования" - восстановление поврежденных, изношенных или пришедших в негодность по любой причине элементов оборудования с приведением его в работоспособное состояние;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53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"ресурс назначенный" - суммарная наработка, при достижении которой эксплуатация оборудования должна быть прекращена независимо от его технического </w:t>
      </w:r>
      <w:r>
        <w:t>состояния;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"сосуд" - герметически закрытая емкость (стационарно установленная или передвижная), предназначенная для ведения химических, тепловых и других технологических процессов, а также для хранения и транспортировки газообразных, жидких и других вещест</w:t>
      </w:r>
      <w:r>
        <w:t>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"сосуд с огневым обогревом" - сосуд, в котором рабочая среда, находящаяся под давлением выше атмосферного, получает тепло от пламени и продуктов сгорания через разделяющую их стенку;</w:t>
      </w:r>
    </w:p>
    <w:p w:rsidR="00C900B7" w:rsidRDefault="00E35299">
      <w:pPr>
        <w:pStyle w:val="ConsPlusNormal0"/>
        <w:jc w:val="both"/>
      </w:pPr>
      <w:r>
        <w:t xml:space="preserve">(абзац введен </w:t>
      </w:r>
      <w:hyperlink r:id="rId5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"срок службы назначенный" - календарная продолжительность эксплуатации оборудования, при достижении которой эксплуатация должна быть пр</w:t>
      </w:r>
      <w:r>
        <w:t>екращена независимо от его технического состояния;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"срок службы расчетный" - срок службы в календарных годах, установленный при проектировании и исчисляемый со дня ввода в эксплуатацию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"температура рабочей среды" - минимальная (максимальная) </w:t>
      </w:r>
      <w:r>
        <w:t>температура среды при нормальном протекании технологического процесса;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"температура стенки расчетная" - температура, при которой определяются физико-механические характеристики, допускаемое напряжение материала и проводится расчет на прочность элементов об</w:t>
      </w:r>
      <w:r>
        <w:t>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"температура стенки допустимая" - максимальная (минимальная) температура стенки, при которой допускается эксплуатация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"трубопровод" - оборудование, предназначенное для транспортирования под избыточным давлением различных сред, сос</w:t>
      </w:r>
      <w:r>
        <w:t>тоящее из соединенных между собой с применением неразъемных и (или) разъемных соединений трубопроводной арматуры, труб, фланцев и других деталей и элементов трубопровода, а также присоединенных к ним деталей опорно-подвесной системы, обеспечивающей безопас</w:t>
      </w:r>
      <w:r>
        <w:t>ную работу трубопровода. Границы трубопровода определяются проектом;</w:t>
      </w:r>
    </w:p>
    <w:p w:rsidR="00C900B7" w:rsidRDefault="00E35299">
      <w:pPr>
        <w:pStyle w:val="ConsPlusNormal0"/>
        <w:jc w:val="both"/>
      </w:pPr>
      <w:r>
        <w:t xml:space="preserve">(абзац введен </w:t>
      </w:r>
      <w:hyperlink r:id="rId55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абзац исключен. - </w:t>
      </w:r>
      <w:hyperlink r:id="rId56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</w:t>
        </w:r>
      </w:hyperlink>
      <w:r>
        <w:t xml:space="preserve"> Совета Евразийской экономической комиссии от 23.04.2021 N 49;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"устройства предохранительные" - устройства, предназначенные для защиты сосудов, котлов, трубопроводов от разрушения при превышении допустимых значений величины давления или температуры;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"цикл жизненный" - временной период с момента выпуска оборудования и</w:t>
      </w:r>
      <w:r>
        <w:t>зготовителем до его утилизации;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"цистерна" - передвижной сосуд, постоянно установленный на раме железнодорожной платформы, на шасси автомобиля (прицепа), в том числе автоцистерны, или на других средствах передвижения, предназначенный для транспортировки и хранения газообразных, жидких и </w:t>
      </w:r>
      <w:r>
        <w:t>других веществ;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"эксплуатация оборудования" - стадия жизненного цикла с момента ввода в эксплуатацию оборудования до его утилизации;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"элемент оборудования" - сборочная единица оборудования, предназначенная для выполнения одной из его основных функций.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Title0"/>
        <w:jc w:val="center"/>
        <w:outlineLvl w:val="1"/>
      </w:pPr>
      <w:r>
        <w:t>III</w:t>
      </w:r>
      <w:r>
        <w:t>. Правила обращения на рынке Союза</w:t>
      </w:r>
    </w:p>
    <w:p w:rsidR="00C900B7" w:rsidRDefault="00E35299">
      <w:pPr>
        <w:pStyle w:val="ConsPlusNormal0"/>
        <w:jc w:val="center"/>
      </w:pPr>
      <w:r>
        <w:t xml:space="preserve">(в ред. </w:t>
      </w:r>
      <w:hyperlink r:id="rId5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</w:t>
      </w:r>
    </w:p>
    <w:p w:rsidR="00C900B7" w:rsidRDefault="00E35299">
      <w:pPr>
        <w:pStyle w:val="ConsPlusNormal0"/>
        <w:jc w:val="center"/>
      </w:pPr>
      <w:r>
        <w:t>от 23.04.2021 N 49)</w:t>
      </w:r>
    </w:p>
    <w:p w:rsidR="00C900B7" w:rsidRDefault="00C900B7">
      <w:pPr>
        <w:pStyle w:val="ConsPlusNormal0"/>
        <w:jc w:val="center"/>
      </w:pPr>
    </w:p>
    <w:p w:rsidR="00C900B7" w:rsidRDefault="00E35299">
      <w:pPr>
        <w:pStyle w:val="ConsPlusNormal0"/>
        <w:ind w:firstLine="540"/>
        <w:jc w:val="both"/>
      </w:pPr>
      <w:r>
        <w:t>5. Оборудование выпускается в обраще</w:t>
      </w:r>
      <w:r>
        <w:t>ние на рынке Союза при его соответствии требованиям настоящего технического регламента и других технических регламентов Союза (Таможенного союза), действие которых распространяется на данное оборудование, и при условии, что оно прошло оценку соответствия с</w:t>
      </w:r>
      <w:r>
        <w:t xml:space="preserve">огласно </w:t>
      </w:r>
      <w:hyperlink w:anchor="P453" w:tooltip="VI. Оценка (подтверждение) соответствия оборудования">
        <w:r>
          <w:rPr>
            <w:color w:val="0000FF"/>
          </w:rPr>
          <w:t>разделу VI</w:t>
        </w:r>
      </w:hyperlink>
      <w:r>
        <w:t xml:space="preserve"> настоящего технического регламента и другим техническим регламентам Союза (Таможенного союза), действие которых на него распространяется.</w:t>
      </w:r>
    </w:p>
    <w:p w:rsidR="00C900B7" w:rsidRDefault="00E35299">
      <w:pPr>
        <w:pStyle w:val="ConsPlusNormal0"/>
        <w:jc w:val="both"/>
      </w:pPr>
      <w:r>
        <w:t xml:space="preserve">(п. 5 в ред. </w:t>
      </w:r>
      <w:hyperlink r:id="rId5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6. Оборудование, соответствие которого требованиям настоящего технического реглам</w:t>
      </w:r>
      <w:r>
        <w:t>ента не подтверждено, не подлежит маркировке единым знаком обращения продукции на рынке Союза и не допускается к выпуску в обращение.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59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</w:t>
      </w:r>
      <w:r>
        <w:t>Совета Евразийской экономической комиссии от 23.04.2021 N 49)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Title0"/>
        <w:jc w:val="center"/>
        <w:outlineLvl w:val="1"/>
      </w:pPr>
      <w:r>
        <w:t>IV. Обеспечение безопасности оборудования при разработке</w:t>
      </w:r>
    </w:p>
    <w:p w:rsidR="00C900B7" w:rsidRDefault="00E35299">
      <w:pPr>
        <w:pStyle w:val="ConsPlusTitle0"/>
        <w:jc w:val="center"/>
      </w:pPr>
      <w:r>
        <w:t>(проектировании), изготовлении (производстве)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ind w:firstLine="540"/>
        <w:jc w:val="both"/>
      </w:pPr>
      <w:r>
        <w:t>7. Оборудование должно разрабатываться (проектироваться) и изготавливаться (производиться</w:t>
      </w:r>
      <w:r>
        <w:t>) таким образом, чтобы при применении по назначению, эксплуатации и техническом обслуживании обеспечивалось его соответствие требованиям безопасности.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8. С целью определения рисков для оборудования должны учитываться факторы, представляющие собой следующие</w:t>
      </w:r>
      <w:r>
        <w:t xml:space="preserve"> основные виды опасности: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наличие незащищенных подвижных элементов;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вибрация;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наличие взрывопожароопасных элементов;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недопустимые отклонения параметров конструкции, сборочных единиц и устройств безопасности, влияющие на безопасность;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д) пожар, </w:t>
      </w:r>
      <w:r>
        <w:t>чрезвычайные ситуации природного и техногенного характера;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перегрев;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ж) превышение давления (давление превышает рабочее или расчетное, указанное в эксплуатационной документации);</w:t>
      </w:r>
    </w:p>
    <w:p w:rsidR="00C900B7" w:rsidRDefault="00E35299">
      <w:pPr>
        <w:pStyle w:val="ConsPlusNormal0"/>
        <w:jc w:val="both"/>
      </w:pPr>
      <w:r>
        <w:t xml:space="preserve">(пп. "ж" в ред. </w:t>
      </w:r>
      <w:hyperlink r:id="rId6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</w:t>
      </w:r>
      <w:r>
        <w:t>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з) повреждения, связанные с отложением примесей рабочей среды на внутренних поверхностях элементов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и) коррозия и иные виды износа материала элементов оборудования;</w:t>
      </w:r>
    </w:p>
    <w:p w:rsidR="00C900B7" w:rsidRDefault="00E35299">
      <w:pPr>
        <w:pStyle w:val="ConsPlusNormal0"/>
        <w:jc w:val="both"/>
      </w:pPr>
      <w:r>
        <w:t xml:space="preserve">(пп. "и" в ред. </w:t>
      </w:r>
      <w:hyperlink r:id="rId61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к) неисправность предохранительных устройств и систем безопасности;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л) прекращение действия вспомогательного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м) погасание факелов в топке при камерном сжигании топлива;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н) исчезновение напряжения на всех контрольно-измерительных приборах, уст</w:t>
      </w:r>
      <w:r>
        <w:t>ройствах дистанционного и автоматического управления;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о) снижение уровня жидкой рабочей среды ниже минимально допустимого уровня;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п) повышение уровня жидкой рабочей среды выше максимально допустимого уровня;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62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р) снижение расхода теплоносителя через оборудование ниже минимально допустимого значения;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63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с) снижение давления теплоносителя в оборудовании ниже минимально допустимого значения;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6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т) повышение температуры теплоносителя на выходе из оборудования до предельного значе</w:t>
      </w:r>
      <w:r>
        <w:t>ния, указанного изготовителем;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у) выход из строя указателей уровня жидкой рабочей среды прямого действия.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65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</w:t>
      </w:r>
      <w:r>
        <w:t>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9. При разработке (проектировании) оборудования и его элементов должны быть идентифицированы и учтены опасные факторы. Обеспечение приемлемого уровня рисков при разработке (проектировании) осуществляется с помощью расчета </w:t>
      </w:r>
      <w:r>
        <w:t>на прочность и соблюдения комплекса технических требований экспериментальным, экспертным методами или по данным эксплуатации аналогичного оборудования.</w:t>
      </w:r>
    </w:p>
    <w:p w:rsidR="00C900B7" w:rsidRDefault="00E35299">
      <w:pPr>
        <w:pStyle w:val="ConsPlusNormal0"/>
        <w:jc w:val="both"/>
      </w:pPr>
      <w:r>
        <w:t xml:space="preserve">(п. 9 в ред. </w:t>
      </w:r>
      <w:hyperlink r:id="rId66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10. Оборудование в зависимости от вместимости или номинального диаметра, а также максимально допустимого рабочего давления классифицируется по категориям (1-я, 2-я, 3-я и </w:t>
      </w:r>
      <w:r>
        <w:t xml:space="preserve">4-я) в соответствии с </w:t>
      </w:r>
      <w:hyperlink w:anchor="P572" w:tooltip="КЛАССИФИКАЦИЯ ОБОРУДОВАНИЯ ПО КАТЕГОРИЯМ ОПАСНОСТИ">
        <w:r>
          <w:rPr>
            <w:color w:val="0000FF"/>
          </w:rPr>
          <w:t>приложением N 1</w:t>
        </w:r>
      </w:hyperlink>
      <w:r>
        <w:t xml:space="preserve"> к настоящему техническому регламенту.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11. Безопасность оборудования обеспечивается путем соблюдения при разработке (проектировании), из</w:t>
      </w:r>
      <w:r>
        <w:t xml:space="preserve">готовлении (производстве) требований безопасности, изложенных в настоящем разделе и </w:t>
      </w:r>
      <w:hyperlink w:anchor="P933" w:tooltip="ТРЕБОВАНИЯ">
        <w:r>
          <w:rPr>
            <w:color w:val="0000FF"/>
          </w:rPr>
          <w:t>приложении N 2</w:t>
        </w:r>
      </w:hyperlink>
      <w:r>
        <w:t xml:space="preserve"> к настоящему техническому регламенту.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 комплект документов, обосновывающих безопасность оборудования с учетом все</w:t>
      </w:r>
      <w:r>
        <w:t>х характерных для него факторов опасности и требований безопасности, входят:</w:t>
      </w:r>
    </w:p>
    <w:p w:rsidR="00C900B7" w:rsidRDefault="00E35299">
      <w:pPr>
        <w:pStyle w:val="ConsPlusNormal0"/>
        <w:jc w:val="both"/>
      </w:pPr>
      <w:r>
        <w:t xml:space="preserve">(абзац введен </w:t>
      </w:r>
      <w:hyperlink r:id="rId6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</w:t>
      </w:r>
      <w:r>
        <w:t>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техническое задание, технические условия или иные документы, в которых устанавливаются требования к оборудованию на стадиях разработки (проектирования) и производства (изготовления);</w:t>
      </w:r>
    </w:p>
    <w:p w:rsidR="00C900B7" w:rsidRDefault="00E35299">
      <w:pPr>
        <w:pStyle w:val="ConsPlusNormal0"/>
        <w:jc w:val="both"/>
      </w:pPr>
      <w:r>
        <w:t xml:space="preserve">(абзац введен </w:t>
      </w:r>
      <w:hyperlink r:id="rId6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проектная (конструкторская) документация (чертежи, схемы, спецификации, расчеты);</w:t>
      </w:r>
    </w:p>
    <w:p w:rsidR="00C900B7" w:rsidRDefault="00E35299">
      <w:pPr>
        <w:pStyle w:val="ConsPlusNormal0"/>
        <w:jc w:val="both"/>
      </w:pPr>
      <w:r>
        <w:t xml:space="preserve">(абзац введен </w:t>
      </w:r>
      <w:hyperlink r:id="rId69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техническая документация, прилагаемая к оборудованию;</w:t>
      </w:r>
    </w:p>
    <w:p w:rsidR="00C900B7" w:rsidRDefault="00E35299">
      <w:pPr>
        <w:pStyle w:val="ConsPlusNormal0"/>
        <w:jc w:val="both"/>
      </w:pPr>
      <w:r>
        <w:t xml:space="preserve">(абзац введен </w:t>
      </w:r>
      <w:hyperlink r:id="rId7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отчетные документы по испытаниям (протоколы, заключения, акты, свидетельства);</w:t>
      </w:r>
    </w:p>
    <w:p w:rsidR="00C900B7" w:rsidRDefault="00E35299">
      <w:pPr>
        <w:pStyle w:val="ConsPlusNormal0"/>
        <w:jc w:val="both"/>
      </w:pPr>
      <w:r>
        <w:t>(абзац введен</w:t>
      </w:r>
      <w:r>
        <w:t xml:space="preserve"> </w:t>
      </w:r>
      <w:hyperlink r:id="rId71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иные документы, содержащие оценку риска и эксплуатационной надежности (при нал</w:t>
      </w:r>
      <w:r>
        <w:t>ичии).</w:t>
      </w:r>
    </w:p>
    <w:p w:rsidR="00C900B7" w:rsidRDefault="00E35299">
      <w:pPr>
        <w:pStyle w:val="ConsPlusNormal0"/>
        <w:jc w:val="both"/>
      </w:pPr>
      <w:r>
        <w:t xml:space="preserve">(абзац введен </w:t>
      </w:r>
      <w:hyperlink r:id="rId72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Для котлов, сосудов и трубопроводов, при разработке (проек</w:t>
      </w:r>
      <w:r>
        <w:t>тировании) которых применялись стандарты, устанавливающие конкретные требования безопасности к оборудованию, включенные в перечень стандартов, в результате применения которых на добровольной основе обеспечивается соблюдение требований настоящего техническо</w:t>
      </w:r>
      <w:r>
        <w:t>го регламента, документами, обосновывающими безопасность, являются расчет на прочность и связанные с ним требования стандартов, включенных в указанный перечень.</w:t>
      </w:r>
    </w:p>
    <w:p w:rsidR="00C900B7" w:rsidRDefault="00E35299">
      <w:pPr>
        <w:pStyle w:val="ConsPlusNormal0"/>
        <w:jc w:val="both"/>
      </w:pPr>
      <w:r>
        <w:t xml:space="preserve">(абзац введен </w:t>
      </w:r>
      <w:hyperlink r:id="rId73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Для оборудования, при разработке (проектировании) которого не применялись стандарты, устанавливающие конкретные требования безопасности к оборудованию, включенн</w:t>
      </w:r>
      <w:r>
        <w:t>ые в перечень стандартов, в результате применения которых на добровольной основе обеспечивается соблюдение требований настоящего технического регламента, комплект документов, обосновывающих безопасность, дополняется документом, подтверждающим, что принятые</w:t>
      </w:r>
      <w:r>
        <w:t xml:space="preserve"> технические решения обеспечивают уровень безопасности оборудования не ниже уровня, установленного стандартами, включенными в указанный перечень.</w:t>
      </w:r>
    </w:p>
    <w:p w:rsidR="00C900B7" w:rsidRDefault="00E35299">
      <w:pPr>
        <w:pStyle w:val="ConsPlusNormal0"/>
        <w:jc w:val="both"/>
      </w:pPr>
      <w:r>
        <w:t xml:space="preserve">(абзац введен </w:t>
      </w:r>
      <w:hyperlink r:id="rId7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12. При изготовлении (производстве) оборудования и устройств безопасности изготовителем обеспечивается их соответствие параметрам и характеристикам, установленным проектной до</w:t>
      </w:r>
      <w:r>
        <w:t>кументацией, и требованиям настоящего технического регламента.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13. Изготовитель проводит испытания оборудования, предусмотренные проектной документацией.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14. Отклонения от проектной документации при изготовлении (производстве) оборудования согласовываются </w:t>
      </w:r>
      <w:r>
        <w:t>с разработчиком (проектировщиком).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15. Оборудование должно быть безопасным в течение всего срока службы при выполнении потребителем мер по обеспечению его безопасности, установленных в технической документации.</w:t>
      </w:r>
    </w:p>
    <w:p w:rsidR="00C900B7" w:rsidRDefault="00E35299">
      <w:pPr>
        <w:pStyle w:val="ConsPlusNormal0"/>
        <w:spacing w:before="240"/>
        <w:ind w:firstLine="540"/>
        <w:jc w:val="both"/>
      </w:pPr>
      <w:bookmarkStart w:id="6" w:name="P256"/>
      <w:bookmarkEnd w:id="6"/>
      <w:r>
        <w:t>16. Техническая документация, прилагаемая к о</w:t>
      </w:r>
      <w:r>
        <w:t>борудованию, включает в себя: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паспорт оборудования или документы, обеспечивающие идентификацию для элементов (сборочных единиц, деталей) и комплектующих изделий;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75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б) исключен. - </w:t>
      </w:r>
      <w:hyperlink r:id="rId76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</w:t>
        </w:r>
      </w:hyperlink>
      <w:r>
        <w:t xml:space="preserve"> Совета Евразийской экономической к</w:t>
      </w:r>
      <w:r>
        <w:t>омиссии от 23.04.2021 N 49;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сборочный чертеж или чертеж с указанием основных размеров (для арматуры, деталей трубопроводов и фланцев допускается рисунок с указанием основных размеров);</w:t>
      </w:r>
    </w:p>
    <w:p w:rsidR="00C900B7" w:rsidRDefault="00E35299">
      <w:pPr>
        <w:pStyle w:val="ConsPlusNormal0"/>
        <w:jc w:val="both"/>
      </w:pPr>
      <w:r>
        <w:t xml:space="preserve">(пп. "в" в ред. </w:t>
      </w:r>
      <w:hyperlink r:id="rId7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паспорта предохранительных устройств (при их наличии в соответствии с проектной документацией);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д) расчет пропускной способности </w:t>
      </w:r>
      <w:r>
        <w:t>предохранительных устройств (при их наличии в соответствии с проектной документацией);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расчет на прочность оборудования (для арматуры, деталей трубопроводов и фланцев допускается выписка из расчета);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7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ж) руководство (инструкция) по эксплуатации (кроме элементов (сборочных единиц, де</w:t>
      </w:r>
      <w:r>
        <w:t>талей) оборудования и комплектующих изделий);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79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з) чертежи, схемы, расчеты и другая документация в соответствии с договором постав</w:t>
      </w:r>
      <w:r>
        <w:t>ки (контракта).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16.1. Техническая документация, составленная на иностранном языке, сопровождается переводом на русский язык и (или) в случае наличия соответствующего требования в законодательстве государства - члена Союза (далее - государство-член) - на го</w:t>
      </w:r>
      <w:r>
        <w:t>сударственный язык государства-члена.</w:t>
      </w:r>
    </w:p>
    <w:p w:rsidR="00C900B7" w:rsidRDefault="00E35299">
      <w:pPr>
        <w:pStyle w:val="ConsPlusNormal0"/>
        <w:jc w:val="both"/>
      </w:pPr>
      <w:r>
        <w:t xml:space="preserve">(п. 16.1 введен </w:t>
      </w:r>
      <w:hyperlink r:id="rId8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17. Паспорт оборудования </w:t>
      </w:r>
      <w:r>
        <w:t>является основным документом для идентификации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Наличие паспорта оборудования обязательно для обращения оборудования на таможенной территории Союза на всех стадиях жизненного цикла оборудования.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81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Паспорт оборудования оформляется изготовителем.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 паспорте оборудования проставляется подпись ответственного лица изгото</w:t>
      </w:r>
      <w:r>
        <w:t>вителя, печать изготовителя (если обязательное наличие печати у юридического лица или физического лица, зарегистрированного в качестве индивидуального предпринимателя, предусмотрено законодательством государства-члена) и указывается дата его оформления.</w:t>
      </w:r>
    </w:p>
    <w:p w:rsidR="00C900B7" w:rsidRDefault="00E35299">
      <w:pPr>
        <w:pStyle w:val="ConsPlusNormal0"/>
        <w:jc w:val="both"/>
      </w:pPr>
      <w:r>
        <w:t>(в</w:t>
      </w:r>
      <w:r>
        <w:t xml:space="preserve"> ред. </w:t>
      </w:r>
      <w:hyperlink r:id="rId82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18. В зависимости от вида оборудования паспорт оборудования должен содержа</w:t>
      </w:r>
      <w:r>
        <w:t xml:space="preserve">ть информацию в соответствии с </w:t>
      </w:r>
      <w:hyperlink w:anchor="P1019" w:tooltip="19. При расчете оборудования на прочность учитываются прогнозируемые отклонения рабочих параметров в процессе его эксплуатации, допускаемые неточности изготовления (производства), возможные отклонения механических характеристик применяемых материалов.">
        <w:r>
          <w:rPr>
            <w:color w:val="0000FF"/>
          </w:rPr>
          <w:t>пунктами 19</w:t>
        </w:r>
      </w:hyperlink>
      <w:r>
        <w:t xml:space="preserve"> - </w:t>
      </w:r>
      <w:hyperlink w:anchor="P1067" w:tooltip="23. Для стальных отливок значение допускаемого напряжения, определенное по формулам, указанным в пунктах 21 и 22 настоящих Требований, умножается на 0,8, если отливки подвергались сплошному неразрушающему контролю, или на 0,7, если отливки не подвергались спло">
        <w:r>
          <w:rPr>
            <w:color w:val="0000FF"/>
          </w:rPr>
          <w:t>23</w:t>
        </w:r>
      </w:hyperlink>
      <w:r>
        <w:t xml:space="preserve"> настоящего технического регламента.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19. Паспорт трубопровода включает в себя следующую информацию: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наименования и адреса эксплуатирующей о</w:t>
      </w:r>
      <w:r>
        <w:t>рганизации, а также изготовителя трубопровода;</w:t>
      </w:r>
    </w:p>
    <w:p w:rsidR="00C900B7" w:rsidRDefault="00E35299">
      <w:pPr>
        <w:pStyle w:val="ConsPlusNormal0"/>
        <w:jc w:val="both"/>
      </w:pPr>
      <w:r>
        <w:t xml:space="preserve">(пп. "а" в ред. </w:t>
      </w:r>
      <w:hyperlink r:id="rId83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наименование и</w:t>
      </w:r>
      <w:r>
        <w:t xml:space="preserve"> категория трубопровода;</w:t>
      </w:r>
    </w:p>
    <w:p w:rsidR="00C900B7" w:rsidRDefault="00E35299">
      <w:pPr>
        <w:pStyle w:val="ConsPlusNormal0"/>
        <w:jc w:val="both"/>
      </w:pPr>
      <w:r>
        <w:t xml:space="preserve">(пп. "б" в ред. </w:t>
      </w:r>
      <w:hyperlink r:id="rId8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дата изготовления (производства);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</w:t>
      </w:r>
      <w:r>
        <w:t xml:space="preserve"> наименование и группа рабочей среды;</w:t>
      </w:r>
    </w:p>
    <w:p w:rsidR="00C900B7" w:rsidRDefault="00E35299">
      <w:pPr>
        <w:pStyle w:val="ConsPlusNormal0"/>
        <w:jc w:val="both"/>
      </w:pPr>
      <w:r>
        <w:t xml:space="preserve">(пп. "г" в ред. </w:t>
      </w:r>
      <w:hyperlink r:id="rId85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расчетное давление, МПа</w:t>
      </w:r>
      <w:r>
        <w:t xml:space="preserve"> (кгс/см</w:t>
      </w:r>
      <w:r>
        <w:rPr>
          <w:vertAlign w:val="superscript"/>
        </w:rPr>
        <w:t>2</w:t>
      </w:r>
      <w:r>
        <w:t>), рабочее давление, МПа (кгс/см</w:t>
      </w:r>
      <w:r>
        <w:rPr>
          <w:vertAlign w:val="superscript"/>
        </w:rPr>
        <w:t>2</w:t>
      </w:r>
      <w:r>
        <w:t>), расчетная температура стенки, °C, рабочая температура рабочей среды, °C;</w:t>
      </w:r>
    </w:p>
    <w:p w:rsidR="00C900B7" w:rsidRDefault="00E35299">
      <w:pPr>
        <w:pStyle w:val="ConsPlusNormal0"/>
        <w:jc w:val="both"/>
      </w:pPr>
      <w:r>
        <w:t xml:space="preserve">(пп. "д" в ред. </w:t>
      </w:r>
      <w:hyperlink r:id="rId86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расчетный срок службы;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ж) расчетный ресурс;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з) расчетное количество пусков;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и) </w:t>
      </w:r>
      <w:r>
        <w:t>схемы, чертежи, свидетельства и другие документы на изготовление (производство) и монтаж трубопровода.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20. Паспорт котла включает в себя следующую информацию (объем сведений формирует изготовитель в зависимости от типа котла):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общие сведения: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наименование и адрес изготовителя;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дата изготовления (производства);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тип (модель);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наименование и назначение;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заводской номер;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расчетный срок службы;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расчетный ресурс котла и основных частей;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расчетное количество пусков;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геометрические размеры котла;</w:t>
      </w:r>
    </w:p>
    <w:p w:rsidR="00C900B7" w:rsidRDefault="00E35299">
      <w:pPr>
        <w:pStyle w:val="ConsPlusNormal0"/>
        <w:jc w:val="both"/>
      </w:pPr>
      <w:r>
        <w:t>(в ре</w:t>
      </w:r>
      <w:r>
        <w:t xml:space="preserve">д. </w:t>
      </w:r>
      <w:hyperlink r:id="rId8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технические характеристики и параметры: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расчетный вид топлива и его теплот</w:t>
      </w:r>
      <w:r>
        <w:t>а сгорания, МДж/м</w:t>
      </w:r>
      <w:r>
        <w:rPr>
          <w:vertAlign w:val="superscript"/>
        </w:rPr>
        <w:t>3</w:t>
      </w:r>
      <w:r>
        <w:t xml:space="preserve"> (ккал/м</w:t>
      </w:r>
      <w:r>
        <w:rPr>
          <w:vertAlign w:val="superscript"/>
        </w:rPr>
        <w:t>3</w:t>
      </w:r>
      <w:r>
        <w:t>) или МДж/кг (ккал/кг);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8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расход топлива, м</w:t>
      </w:r>
      <w:r>
        <w:rPr>
          <w:vertAlign w:val="superscript"/>
        </w:rPr>
        <w:t>3</w:t>
      </w:r>
      <w:r>
        <w:t xml:space="preserve">/ч </w:t>
      </w:r>
      <w:r>
        <w:t>(т/ч);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тип и характеристика топочной установки (горелок);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расчетное, рабочее, пробное давление, МПа (кгс/см</w:t>
      </w:r>
      <w:r>
        <w:rPr>
          <w:vertAlign w:val="superscript"/>
        </w:rPr>
        <w:t>2</w:t>
      </w:r>
      <w:r>
        <w:t>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максимально допустимое гидравлическое сопротивление котла при номинальной производительности, МПа (кгс/см</w:t>
      </w:r>
      <w:r>
        <w:rPr>
          <w:vertAlign w:val="superscript"/>
        </w:rPr>
        <w:t>2</w:t>
      </w:r>
      <w:r>
        <w:t>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минимально допустимое давление при н</w:t>
      </w:r>
      <w:r>
        <w:t>оминальной температуре, МПа (кгс/см</w:t>
      </w:r>
      <w:r>
        <w:rPr>
          <w:vertAlign w:val="superscript"/>
        </w:rPr>
        <w:t>2</w:t>
      </w:r>
      <w:r>
        <w:t>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номинальная температура пара на выходе из котла, °C;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расчетная температура перегретого пара (жидкости), °C;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номинальная температура жидкости на входе в котел, °C;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номинальная и максимальная температура жидкости на вых</w:t>
      </w:r>
      <w:r>
        <w:t>оде из котла, °C;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номинальная, минимально и максимально допустимая паропроизводительность, т/ч;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номинальная, минимальная и максимальная теплопроизводительность, кВт;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поверхность нагрева котла и основных частей, м</w:t>
      </w:r>
      <w:r>
        <w:rPr>
          <w:vertAlign w:val="superscript"/>
        </w:rPr>
        <w:t>2</w:t>
      </w:r>
      <w:r>
        <w:t>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вместимость, м</w:t>
      </w:r>
      <w:r>
        <w:rPr>
          <w:vertAlign w:val="superscript"/>
        </w:rPr>
        <w:t>3</w:t>
      </w:r>
      <w:r>
        <w:t>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минимально и максимально допустимый расход жидкости, м</w:t>
      </w:r>
      <w:r>
        <w:rPr>
          <w:vertAlign w:val="superscript"/>
        </w:rPr>
        <w:t>3</w:t>
      </w:r>
      <w:r>
        <w:t>/ч;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сведения о предохранительных устройствах (в том числе тип, количество, место установки, площадь сечения, номинальный диаметр, коэффициент расхода пара или жидкости, величина (диапазон) начала открытия);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сведения об указателях уровня жидкости (воды) (</w:t>
      </w:r>
      <w:r>
        <w:t>в том числе тип указателя, количество, место установки);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сведения об основной арматуре (в том числе количество, номинальный диаметр, условное давление, рабочие параметры, материал корпуса, место установки);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сведения об основной аппаратуре для измерен</w:t>
      </w:r>
      <w:r>
        <w:t>ия, управления, сигнализации, регулирования и автоматической защиты (в том числе количество, тип (марка));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ж) сведения о насосах (в том числе тип, количество, рабочие параметры, тип привода);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з) сведения об основных элементах котла, изготовленных (произвед</w:t>
      </w:r>
      <w:r>
        <w:t>енных) из листовой стали (сведения о количестве, размерах, материале, сварке и термообработке, результатах измерительного и неразрушающего контроля, испытаниях неразъемных соединений, гидравлических (пневматических) испытаниях и т.п.);</w:t>
      </w:r>
    </w:p>
    <w:p w:rsidR="00C900B7" w:rsidRDefault="00E35299">
      <w:pPr>
        <w:pStyle w:val="ConsPlusNormal0"/>
        <w:jc w:val="both"/>
      </w:pPr>
      <w:r>
        <w:t xml:space="preserve">(пп. "з" в ред. </w:t>
      </w:r>
      <w:hyperlink r:id="rId89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и) сведения об элементах котла, изготовленных (произведенных) из труб (в том числе к</w:t>
      </w:r>
      <w:r>
        <w:t>оличество, размеры, материал, сварка и термообработка, сведения о результатах измерительного и неразрушающего контроля, испытаниях неразъемных соединений, гидравлических (пневматических) испытаниях и т.п.);</w:t>
      </w:r>
    </w:p>
    <w:p w:rsidR="00C900B7" w:rsidRDefault="00E35299">
      <w:pPr>
        <w:pStyle w:val="ConsPlusNormal0"/>
        <w:jc w:val="both"/>
      </w:pPr>
      <w:r>
        <w:t xml:space="preserve">(пп. "и" в ред. </w:t>
      </w:r>
      <w:hyperlink r:id="rId9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к) сведения о штуцерах, крышках, днищах, переходах, фланцах (в том числе количество, размеры, материал);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л) сведе</w:t>
      </w:r>
      <w:r>
        <w:t>ния о теплоносителе (в том числе наименование, максимально допустимая температура применения, температура самовоспламенения в открытом пространстве, температура затвердевания, температура кипения, изменение (кривая) температуры кипения в зависимости от дав</w:t>
      </w:r>
      <w:r>
        <w:t>ления, другие данные, влияющие на безопасную эксплуатацию);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м) рисунки, схемы, чертежи котла и основных его элементов и другие документы (сводный лист заводских изменений, комплектовочная ведомость, спецификация с указанием основных размеров сборочных един</w:t>
      </w:r>
      <w:r>
        <w:t>иц и т.п.);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н) иные сведения, обеспечивающие безопасность эксплуатации котла.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21. Паспорт сосуда включает в себя следующую информацию: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общие сведения: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наименование и адрес изготовителя;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наименование сосуда;</w:t>
      </w:r>
    </w:p>
    <w:p w:rsidR="00C900B7" w:rsidRDefault="00E35299">
      <w:pPr>
        <w:pStyle w:val="ConsPlusNormal0"/>
        <w:jc w:val="both"/>
      </w:pPr>
      <w:r>
        <w:t xml:space="preserve">(абзац введен </w:t>
      </w:r>
      <w:hyperlink r:id="rId91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дата изготовления (производства);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заводской номер;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расчетный срок службы;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допускаемое количество циклов нагруже</w:t>
      </w:r>
      <w:r>
        <w:t>ния в случае, если значения амплитуды напряжений определимы;</w:t>
      </w:r>
    </w:p>
    <w:p w:rsidR="00C900B7" w:rsidRDefault="00E35299">
      <w:pPr>
        <w:pStyle w:val="ConsPlusNormal0"/>
        <w:jc w:val="both"/>
      </w:pPr>
      <w:r>
        <w:t xml:space="preserve">(абзац введен </w:t>
      </w:r>
      <w:hyperlink r:id="rId92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с</w:t>
      </w:r>
      <w:r>
        <w:t>ведения о технических характеристиках и параметрах: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рабочее, расчетное, пробное давление, МПа (кгс/см</w:t>
      </w:r>
      <w:r>
        <w:rPr>
          <w:vertAlign w:val="superscript"/>
        </w:rPr>
        <w:t>2</w:t>
      </w:r>
      <w:r>
        <w:t>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рабочая температура рабочей среды, °C;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расчетная температура стенки, °C;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минимально допустимая температура стенки сосуда при расчетном давлении, °C;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93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наименование рабочей среды;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группа рабочей среды;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прибавка для компенсации коррози</w:t>
      </w:r>
      <w:r>
        <w:t>и (эрозии), мм;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вместимость, м</w:t>
      </w:r>
      <w:r>
        <w:rPr>
          <w:vertAlign w:val="superscript"/>
        </w:rPr>
        <w:t>3</w:t>
      </w:r>
      <w:r>
        <w:t>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масса пустого сосуда, кг;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максимальная масса заливаемой среды, кг;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сведения об основных частях (сведения об их количестве, размерах, сведения о материалах, сварке (пайке) и термообработке), результатах измерительного и н</w:t>
      </w:r>
      <w:r>
        <w:t>еразрушающего контроля, испытаниях неразъемных соединений, гидравлических (пневматических) испытаниях и т.п.);</w:t>
      </w:r>
    </w:p>
    <w:p w:rsidR="00C900B7" w:rsidRDefault="00E35299">
      <w:pPr>
        <w:pStyle w:val="ConsPlusNormal0"/>
        <w:jc w:val="both"/>
      </w:pPr>
      <w:r>
        <w:t xml:space="preserve">(пп. "в" в ред. </w:t>
      </w:r>
      <w:hyperlink r:id="rId9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</w:t>
      </w:r>
      <w:r>
        <w:t>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сведения о штуцерах, фланцах, крышках, крепежных изделиях (в том числе количество, размеры, материал);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сведения о предохранительных устройствах, основной арматуре, контрольно-измерительных приборах, приб</w:t>
      </w:r>
      <w:r>
        <w:t>орах безопасности (в том числе количество, номинальный диаметр, номинальное давление и (или) расчетное давление, материал корпуса, место установки);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95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рисунки, схемы, чертежи сосуда и другие документы (сводный лист заводских изменений, комплектовочная ведомость, спецификация с указанием основных размеров сборочных единиц и т.</w:t>
      </w:r>
      <w:r>
        <w:t>п.);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ж) регламент пуска (остановки) в условиях отрицательных температур и иные сведения, обеспечивающие безопасность эксплуатации сосуда (при наличии иных сведений).</w:t>
      </w:r>
    </w:p>
    <w:p w:rsidR="00C900B7" w:rsidRDefault="00E35299">
      <w:pPr>
        <w:pStyle w:val="ConsPlusNormal0"/>
        <w:jc w:val="both"/>
      </w:pPr>
      <w:r>
        <w:t xml:space="preserve">(пп. "ж" в ред. </w:t>
      </w:r>
      <w:hyperlink r:id="rId96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22. Паспорт баллона включает в себя следующую информацию: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общие сведения: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наименование и адрес изготовителя;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дата изготовления (производства);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обозначе</w:t>
      </w:r>
      <w:r>
        <w:t>ние баллона;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наименование и группа рабочей среды;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9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заводской номер;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св</w:t>
      </w:r>
      <w:r>
        <w:t>едения о технических характеристиках и параметрах: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рабочее давление, МПа (кгс/см</w:t>
      </w:r>
      <w:r>
        <w:rPr>
          <w:vertAlign w:val="superscript"/>
        </w:rPr>
        <w:t>2</w:t>
      </w:r>
      <w:r>
        <w:t>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пробное давление, МПа (кгс/см</w:t>
      </w:r>
      <w:r>
        <w:rPr>
          <w:vertAlign w:val="superscript"/>
        </w:rPr>
        <w:t>2</w:t>
      </w:r>
      <w:r>
        <w:t>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основные размеры баллона, чертеж баллона;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вместимость, л;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масса, кг;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резьба на горловинах;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уплотнение горловин;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температурный диапазон эксплуатации, °C;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максимальное количество заправок;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расчетный срок службы с даты изготовления (производства), лет;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требования к транспортированию и хранению баллона;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требования к установке баллона;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д) требования к эксплуатации </w:t>
      </w:r>
      <w:r>
        <w:t>баллона;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иные сведения, обеспечивающие безопасность эксплуатации баллона.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23. Паспорт арматуры включает в себя следующую информацию: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общие сведения: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наименование и адрес изготовителя;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дата изготовления (производства);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наименование, обозначение и иден</w:t>
      </w:r>
      <w:r>
        <w:t>тификационный (заводской) номер;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назначение арматуры;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сведения о подтверждении соответствия;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сведения о технических параметрах: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диаметр номинальный (DN);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давление номинальное (PN) или давление рабочее (Pp), МПа (кгс/см);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наименование и группа рабочей ср</w:t>
      </w:r>
      <w:r>
        <w:t>еды;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9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температура рабочей среды, °C;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герметичность затвора;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климатическое</w:t>
      </w:r>
      <w:r>
        <w:t xml:space="preserve"> исполнение и параметры окружающей среды;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тип присоединения к трубопроводу;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гидравлические характеристики (коэффициент сопротивления, или условная пропускная способность, или коэффициент расхода);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стойкость к внешним воздействиям (в случае если необходимо указать данную информацию);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масса, кг;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показатели надежности;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показатели без</w:t>
      </w:r>
      <w:r>
        <w:t>опасности;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вид привода и основные его технические характеристики;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сведения о материалах основных деталей;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иные сведения, обеспечивающие безопасность эксплуатации арматуры.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99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24. Изготовитель вправе дополнить сведения, указанные в </w:t>
      </w:r>
      <w:hyperlink w:anchor="P1019" w:tooltip="19. При расчете оборудования на прочность учитываются прогнозируемые отклонения рабочих параметров в процессе его эксплуатации, допускаемые неточности изготовления (производства), возможные отклонения механических характеристик применяемых материалов.">
        <w:r>
          <w:rPr>
            <w:color w:val="0000FF"/>
          </w:rPr>
          <w:t>пунктах 19</w:t>
        </w:r>
      </w:hyperlink>
      <w:r>
        <w:t xml:space="preserve"> - </w:t>
      </w:r>
      <w:hyperlink w:anchor="P1067" w:tooltip="23. Для стальных отливок значение допускаемого напряжения, определенное по формулам, указанным в пунктах 21 и 22 настоящих Требований, умножается на 0,8, если отливки подвергались сплошному неразрушающему контролю, или на 0,7, если отливки не подвергались спло">
        <w:r>
          <w:rPr>
            <w:color w:val="0000FF"/>
          </w:rPr>
          <w:t>23</w:t>
        </w:r>
      </w:hyperlink>
      <w:r>
        <w:t xml:space="preserve"> настоящего </w:t>
      </w:r>
      <w:r>
        <w:t>технического регламента, информацией, отражающей конструктивные особенности конкретного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25. Утратил силу. - </w:t>
      </w:r>
      <w:hyperlink r:id="rId10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</w:t>
        </w:r>
      </w:hyperlink>
      <w:r>
        <w:t xml:space="preserve"> Совета Евразийской э</w:t>
      </w:r>
      <w:r>
        <w:t>кономической комиссии от 23.04.2021 N 49.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26. Изготовитель оборудования должен обеспечивать оборудование руководством (инструкцией) по эксплуатации.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Руководство (инструкция) по эксплуатации готовится на этапе разработки (проектирования)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27. Руководство (инструкция) по эксплуатации включает в себя: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сведения о конструкции, принципе действия, характеристиках (свойствах)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у</w:t>
      </w:r>
      <w:r>
        <w:t>казания по монтажу или сборке, наладке или регулировке, техническому обслуживанию и ремонту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указания по использованию оборудования и меры по обеспечению безопасности, которые необходимо соблюдать при эксплуатации оборудования (включая ввод</w:t>
      </w:r>
      <w:r>
        <w:t xml:space="preserve"> в эксплуатацию, применение по назначению, техническое обслуживание, все виды ремонта, периодическое диагностирование, испытания, транспортирование, упаковку, консервацию и условия хранения);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назначенные показатели (назначенный срок хранения, назначенны</w:t>
      </w:r>
      <w:r>
        <w:t>й срок службы и (или) назначенный ресурс) в зависимости от конструктивных особенностей.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По истечении назначенных показателей (назначенного срока хранения, назначенного срока службы и (или) назначенного ресурса), указанных в руководстве (инструкции) по эксп</w:t>
      </w:r>
      <w:r>
        <w:t>луатации, прекращается эксплуатация оборудования и принимается решение о направлении его в ремонт, или об утилизации, или о проверке и об установлении новых назначенных показателей (назначенного ресурса, срока хранения, срока службы);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перечень критическ</w:t>
      </w:r>
      <w:r>
        <w:t>их отказов, возможные ошибочные действия персонала, которые приводят к инциденту или аварии;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действия персонала в случае инцидента, критического отказа или аварии;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ж) критерии предельных состояний;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з) указания по выводу из эксплуатации и утилизации;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и) </w:t>
      </w:r>
      <w:r>
        <w:t>сведения о квалификации обслуживающего персонала;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к) наименование, местонахождение и контактную информацию изготовителя (уполномоченного изготовителем лица), импортера.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28. Руководство (инструкция) по эксплуатации составляется на русском языке и при наличи</w:t>
      </w:r>
      <w:r>
        <w:t>и соответствующего требования в законодательстве государств-членов на государственных языках государств-членов.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01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Руководство (инструкция) по эксплуатации оформляется на бумажном носителе, при это</w:t>
      </w:r>
      <w:r>
        <w:t>м может прилагаться комплект эксплуатационных документов на электронном носителе. К комплекту оборудования небытового назначения по выбору изготовителя может прилагаться руководство (инструкция) по эксплуатации только на электронном носителе.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29. На оборуд</w:t>
      </w:r>
      <w:r>
        <w:t>ование наносится маркировка в виде четких и нестираемых надписей, содержащих следующую информацию: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наименование и (или) обозначение типа, марки, модели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параметры и характеристики, влияющие на безопасность;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в) наименование материала, из </w:t>
      </w:r>
      <w:r>
        <w:t>которого изготовлено (произведено) оборудование (элементы);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наименование изготовителя и его товарный знак (при наличии);</w:t>
      </w:r>
    </w:p>
    <w:p w:rsidR="00C900B7" w:rsidRDefault="00E35299">
      <w:pPr>
        <w:pStyle w:val="ConsPlusNormal0"/>
        <w:jc w:val="both"/>
      </w:pPr>
      <w:r>
        <w:t xml:space="preserve">(пп. "г" в ред. </w:t>
      </w:r>
      <w:hyperlink r:id="rId102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</w:t>
      </w:r>
      <w:r>
        <w:t>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заводской номер;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дата изготовления (производства).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30. Место нанесения маркировки определяется проектной организацией и указывается в руководстве (инструкции) по эксплуатации.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В случае если </w:t>
      </w:r>
      <w:r>
        <w:t xml:space="preserve">сведения, указанные в </w:t>
      </w:r>
      <w:hyperlink w:anchor="P1088" w:tooltip="29. При расчете на прочность сварных соединений элементов оборудования значение допускаемого напряжения умножается на коэффициент прочности сварных швов   1. Значение коэффициента прочности сварных швов определяется при расчете на прочность оборудования в зави">
        <w:r>
          <w:rPr>
            <w:color w:val="0000FF"/>
          </w:rPr>
          <w:t>пункте 29</w:t>
        </w:r>
      </w:hyperlink>
      <w:r>
        <w:t xml:space="preserve"> настоящего технического регламента, невозможно нанести непосредственно на оборудование, они могут быть указаны только в прилагаемом к этому оборудованию руководстве (инструкции) по экспл</w:t>
      </w:r>
      <w:r>
        <w:t>уатации.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31. На оборудование, предназначенное для транспортировки газов (баллоны и автоцистерны), наносятся отличительная окраска и идентификационная информация в соответствии с требованиями, предусмотренными </w:t>
      </w:r>
      <w:hyperlink w:anchor="P1271" w:tooltip="ТРЕБОВАНИЯ">
        <w:r>
          <w:rPr>
            <w:color w:val="0000FF"/>
          </w:rPr>
          <w:t>при</w:t>
        </w:r>
        <w:r>
          <w:rPr>
            <w:color w:val="0000FF"/>
          </w:rPr>
          <w:t>ложением N 3</w:t>
        </w:r>
      </w:hyperlink>
      <w:r>
        <w:t xml:space="preserve"> к настоящему техническому регламенту. При покрытии (обшивке) указанного оборудования коррозионно-стойкими и теплоизоляционными материалами окраска по всей длине может не производиться.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03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32. Элементы и комплектующие оборудования маркируются в соответствии с договором на поставку (контрактом). Маркировка должна обесп</w:t>
      </w:r>
      <w:r>
        <w:t>ечивать их идентификацию.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33. Техническая документация на оборудование хранится у изготовителя (уполномоченного изготовителем лица) в течение расчетного срока службы со дня прекращения производства этого оборудования.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0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34. Правила эксплуатации оборудования устанавливаются законодательством государств-членов.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Title0"/>
        <w:jc w:val="center"/>
        <w:outlineLvl w:val="1"/>
      </w:pPr>
      <w:bookmarkStart w:id="7" w:name="P448"/>
      <w:bookmarkEnd w:id="7"/>
      <w:r>
        <w:t>V. Обеспечение соответствия требованиям безопасности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ind w:firstLine="540"/>
        <w:jc w:val="both"/>
      </w:pPr>
      <w:r>
        <w:t xml:space="preserve">35. Соответствие оборудования требованиям настоящего технического регламента обеспечивается путем непосредственного выполнения этих требований либо путем выполнения требований стандартов, включенных в </w:t>
      </w:r>
      <w:hyperlink r:id="rId105" w:tooltip="Решение Коллегии Евразийской экономической комиссии от 11.06.2019 N 96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">
        <w:r>
          <w:rPr>
            <w:color w:val="0000FF"/>
          </w:rPr>
          <w:t>перечень</w:t>
        </w:r>
      </w:hyperlink>
      <w:r>
        <w:t xml:space="preserve"> стандартов, в результате применения которых на добровольной основе обеспечивается соблюдение требований настоящего технич</w:t>
      </w:r>
      <w:r>
        <w:t>еского регламента.</w:t>
      </w:r>
    </w:p>
    <w:p w:rsidR="00C900B7" w:rsidRDefault="00E35299">
      <w:pPr>
        <w:pStyle w:val="ConsPlusNormal0"/>
        <w:spacing w:before="240"/>
        <w:ind w:firstLine="540"/>
        <w:jc w:val="both"/>
      </w:pPr>
      <w:bookmarkStart w:id="8" w:name="P451"/>
      <w:bookmarkEnd w:id="8"/>
      <w:r>
        <w:t xml:space="preserve">36. Методы исследований (испытаний) и измерений оборудования устанавливаются стандартами, включенными в </w:t>
      </w:r>
      <w:hyperlink r:id="rId106" w:tooltip="Решение Коллегии Евразийской экономической комиссии от 11.06.2019 N 96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">
        <w:r>
          <w:rPr>
            <w:color w:val="0000FF"/>
          </w:rPr>
          <w:t>перече</w:t>
        </w:r>
        <w:r>
          <w:rPr>
            <w:color w:val="0000FF"/>
          </w:rPr>
          <w:t>нь</w:t>
        </w:r>
      </w:hyperlink>
      <w:r>
        <w:t xml:space="preserve">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настоящего технического регламента и осуществления оценки (подтверждения) соответствия </w:t>
      </w:r>
      <w:r>
        <w:t>оборудования.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Title0"/>
        <w:jc w:val="center"/>
        <w:outlineLvl w:val="1"/>
      </w:pPr>
      <w:bookmarkStart w:id="9" w:name="P453"/>
      <w:bookmarkEnd w:id="9"/>
      <w:r>
        <w:t>VI. Оценка (подтверждение) соответствия оборудования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ind w:firstLine="540"/>
        <w:jc w:val="both"/>
      </w:pPr>
      <w:r>
        <w:t>37. Оборудование, выпускаемое в обращение на таможенной территории Союза, подлежит оценке (подтверждению) соответствия требованиям настоящего технического регламента.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0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38. Оценка (подтверждение) соответствия оборудования требованиям настоящего технического регламента проводится в форме государственного контроля (надзора) и в фо</w:t>
      </w:r>
      <w:r>
        <w:t>рме подтверждения соответствия.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39. Государственный контроль (надзор) за соблюдением требований настоящего технического регламента проводится в соответствии с законодательством государств-членов.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40. Подтверждение соответствия оборудования требованиям наст</w:t>
      </w:r>
      <w:r>
        <w:t>оящего технического регламента (далее - подтверждение соответствия) осуществляется путем: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а) сертификации аккредитованным органом по сертификации (оценке (подтверждению) соответствия), включенным в единый реестр органов по оценке соответствия Союза (далее </w:t>
      </w:r>
      <w:r>
        <w:t>- орган по сертификации);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0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декларирования соответствия на основании со</w:t>
      </w:r>
      <w:r>
        <w:t>бственных доказательств и (или) доказательств, полученных с участием органа по сертификации или аккредитованной испытательной лаборатории (центра), включенной в единый реестр органов по оценке соответствия Союза (далее - аккредитованная испытательная лабор</w:t>
      </w:r>
      <w:r>
        <w:t>атория).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09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41. Подтверждение соответствия осуществляется согласно схемам с</w:t>
      </w:r>
      <w:r>
        <w:t>ертификации и декларирования, установленным настоящим техническим регламентом.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42. Декларирование соответствия оборудования требованиям настоящего технического регламента проводится заявителем в отношении оборудования и элементов оборудования 1-й и 2-й кат</w:t>
      </w:r>
      <w:r>
        <w:t>егорий, а также оборудования любой категории, изготовление или окончательное изготовление которого с применением неразъемных соединений осуществляется по месту эксплуатации.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1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43. Сертификация проводится в отношении оборудования и элементов оборудования 3-й и 4-й категорий.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11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44. Единственным документом, подтверждающим соответствие оборудования требованиям настоящего технического регламента, является </w:t>
      </w:r>
      <w:r>
        <w:t>либо декларация о соответствии, либо сертификат соответствия.</w:t>
      </w:r>
    </w:p>
    <w:p w:rsidR="00C900B7" w:rsidRDefault="00E35299">
      <w:pPr>
        <w:pStyle w:val="ConsPlusNormal0"/>
        <w:spacing w:before="240"/>
        <w:ind w:firstLine="540"/>
        <w:jc w:val="both"/>
      </w:pPr>
      <w:bookmarkStart w:id="10" w:name="P470"/>
      <w:bookmarkEnd w:id="10"/>
      <w:r>
        <w:t>45. При проведении подтверждения соответствия заявитель формирует комплект документов на оборудование, который включает в себя: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обоснование безопасности;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паспорт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руководст</w:t>
      </w:r>
      <w:r>
        <w:t>во (инструкцию) по эксплуатации;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проектную документацию;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результаты прочностных расчетов и расчетов пропускной способности предохранительных устройств (при их наличии в соответствии с проектом);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технологические регламенты и сведения о технологичес</w:t>
      </w:r>
      <w:r>
        <w:t>ком процессе (данные о применяемых материалах, полуфабрикатах, комплектующих, сварочных материалах, о способах и параметрах режимов сварки и термической обработке, методах и результатах неразрушающего контроля);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ж) сведения о проведенных испытаниях (измере</w:t>
      </w:r>
      <w:r>
        <w:t>ниях);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з) протоколы испытаний оборудования, проведенных изготовителем, уполномоченным изготовителем лицом и (или) аккредитованной испытательной лабораторией;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и) документ о подтверждении характеристик материалов и комплектующих изделий (при наличии);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к) сертификаты соответствия, декларации о соответствии или протоколы испытаний в отношении материалов, комплектующих изделий (при наличии);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л) перечень стандартов, указанных в </w:t>
      </w:r>
      <w:hyperlink w:anchor="P448" w:tooltip="V. Обеспечение соответствия требованиям безопасности">
        <w:r>
          <w:rPr>
            <w:color w:val="0000FF"/>
          </w:rPr>
          <w:t>разделе V</w:t>
        </w:r>
      </w:hyperlink>
      <w:r>
        <w:t xml:space="preserve"> настоящего технического регламента, которые были применены при изготовлении (производстве) оборудования (в случае их применения изготовителем);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м) документы, подтв</w:t>
      </w:r>
      <w:r>
        <w:t>ерждающие квалификацию специалистов и персонала изготовителя;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н) иные документы, прямо или косвенно подтверждающие соответствие оборудования требованиям настоящего технического регламента (при наличии).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46. Декларирование соответствия оборудования требован</w:t>
      </w:r>
      <w:r>
        <w:t>иям настоящего технического регламента осуществляется по следующим схемам: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а) схема 1д применяется в отношении серийно выпускаемого оборудования 1-й и 2-й категорий, при этом заявитель формирует комплект документов, указанных в </w:t>
      </w:r>
      <w:hyperlink w:anchor="P470" w:tooltip="45. При проведении подтверждения соответствия заявитель формирует комплект документов на оборудование, который включает в себя:">
        <w:r>
          <w:rPr>
            <w:color w:val="0000FF"/>
          </w:rPr>
          <w:t>пункте 45</w:t>
        </w:r>
      </w:hyperlink>
      <w:r>
        <w:t xml:space="preserve"> настоящего технического регламента, осуществляет производственный контроль и принимает меры для того, чтобы процес</w:t>
      </w:r>
      <w:r>
        <w:t>с производства обеспечивал соответствие оборудования требованиям настоящего технического регламента, проводит испытания образцов в испытательной лаборатории или аккредитованной испытательной лаборатории, принимает и регистрирует декларацию о соответствии;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б) схема 2д применяется в отношении партии оборудования (единичного изделия) 1-й и 2-й категорий, при этом заявитель формирует комплект документов, указанных в </w:t>
      </w:r>
      <w:hyperlink w:anchor="P470" w:tooltip="45. При проведении подтверждения соответствия заявитель формирует комплект документов на оборудование, который включает в себя:">
        <w:r>
          <w:rPr>
            <w:color w:val="0000FF"/>
          </w:rPr>
          <w:t>пункте 45</w:t>
        </w:r>
      </w:hyperlink>
      <w:r>
        <w:t xml:space="preserve"> настоящего технического регламента, проводит испытания образцов в испытательной лаборатории или аккредитованной испытательной лаборатории, принимает и регистрирует декларацию о соотв</w:t>
      </w:r>
      <w:r>
        <w:t>етствии;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в) схема 3д применяется в отношении серийно выпускаемых элементов оборудования 1-й и 2-й категорий и комплектующих изделий оборудования 1-й и 2-й категорий, при этом заявитель формирует комплект документов, указанных в </w:t>
      </w:r>
      <w:hyperlink w:anchor="P470" w:tooltip="45. При проведении подтверждения соответствия заявитель формирует комплект документов на оборудование, который включает в себя:">
        <w:r>
          <w:rPr>
            <w:color w:val="0000FF"/>
          </w:rPr>
          <w:t>пункте 45</w:t>
        </w:r>
      </w:hyperlink>
      <w:r>
        <w:t xml:space="preserve"> настоящего технического регламента, осуществляет производственный контроль и принимает меры для того, чтобы процес</w:t>
      </w:r>
      <w:r>
        <w:t>с производства обеспечивал соответствие элементов оборудования и комплектующих изделий требованиям настоящего технического регламента, проводит испытания образцов в аккредитованной испытательной лаборатории, принимает и регистрирует декларацию о соответств</w:t>
      </w:r>
      <w:r>
        <w:t>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г) схема 4д применяется в отношении партии элементов оборудования 1-й и 2-й категорий и комплектующих изделий оборудования 1-й и 2-й категорий, при этом заявитель формирует комплект документов, указанных в </w:t>
      </w:r>
      <w:hyperlink w:anchor="P470" w:tooltip="45. При проведении подтверждения соответствия заявитель формирует комплект документов на оборудование, который включает в себя:">
        <w:r>
          <w:rPr>
            <w:color w:val="0000FF"/>
          </w:rPr>
          <w:t>пункте 45</w:t>
        </w:r>
      </w:hyperlink>
      <w:r>
        <w:t xml:space="preserve"> настоящего технического регламента, проводит испытания образцов в аккредитованной испытательной лаборатории, принимает и регистрируе</w:t>
      </w:r>
      <w:r>
        <w:t>т декларацию о соответствии;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схема 5д применяется в отношении оборудования 1-й, 2-й, 3-й и 4-й категорий, изготовление или окончательное изготовление которого с использованием неразъемных соединений осуществляется по месту эксплуатации в следующих случа</w:t>
      </w:r>
      <w:r>
        <w:t>ях: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12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невозможно проведение испытаний в полном объеме до установки оборудо</w:t>
      </w:r>
      <w:r>
        <w:t>вания на месте его эксплуатации;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при разработке (проектировании) и изготовлении (производстве) оборудования не применялись стандарты, указанные в </w:t>
      </w:r>
      <w:hyperlink w:anchor="P451" w:tooltip="36. Методы исследований (испытаний) и измерений оборудования устанавливаются стандартами, включенными в перечень стандартов, содержащих правила и методы исследований (испытаний) и измерений, в том числе правила отбора образцов, необходимые для применения и исп">
        <w:r>
          <w:rPr>
            <w:color w:val="0000FF"/>
          </w:rPr>
          <w:t>пункте 36</w:t>
        </w:r>
      </w:hyperlink>
      <w:r>
        <w:t xml:space="preserve"> настоящего технического регламента, в том числе для инновационн</w:t>
      </w:r>
      <w:r>
        <w:t xml:space="preserve">ого оборудования. При применении схемы 5д заявитель формирует комплект документов, указанных в </w:t>
      </w:r>
      <w:hyperlink w:anchor="P470" w:tooltip="45. При проведении подтверждения соответствия заявитель формирует комплект документов на оборудование, который включает в себя:">
        <w:r>
          <w:rPr>
            <w:color w:val="0000FF"/>
          </w:rPr>
          <w:t>п</w:t>
        </w:r>
        <w:r>
          <w:rPr>
            <w:color w:val="0000FF"/>
          </w:rPr>
          <w:t>ункте 45</w:t>
        </w:r>
      </w:hyperlink>
      <w:r>
        <w:t xml:space="preserve"> настоящего технического регламента, осуществляет производственный контроль и принимает меры для того, чтобы процесс производства обеспечивал соответствие оборудования требованиям настоящего технического регламента, и направляет в орган по сертифик</w:t>
      </w:r>
      <w:r>
        <w:t>ации заявку на проведение исследования типа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орган по сертификации проводит исследование типа оборудования с учетом полученных от заявителя документов. В случае если заявитель не применял стандарты, указанные в </w:t>
      </w:r>
      <w:hyperlink w:anchor="P451" w:tooltip="36. Методы исследований (испытаний) и измерений оборудования устанавливаются стандартами, включенными в перечень стандартов, содержащих правила и методы исследований (испытаний) и измерений, в том числе правила отбора образцов, необходимые для применения и исп">
        <w:r>
          <w:rPr>
            <w:color w:val="0000FF"/>
          </w:rPr>
          <w:t>пункте 36</w:t>
        </w:r>
      </w:hyperlink>
      <w:r>
        <w:t xml:space="preserve"> настоящего технического регламента, орган по сертификации оценивает возможность замены требований этих стандартов заявленными требованиями. Исследование типа оборудования в зависимости от представленных заявителем документов проводится одним</w:t>
      </w:r>
      <w:r>
        <w:t xml:space="preserve"> из следующих способов: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исследование образца как представителя всего производимого впоследствии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изучение представленных документов, испытание образца или основных (критических) составных частей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оформление и выдача заявителю орга</w:t>
      </w:r>
      <w:r>
        <w:t xml:space="preserve">ном по сертификации при положительных результатах исследований типа оборудования сертификата на тип оборудования по единой </w:t>
      </w:r>
      <w:hyperlink r:id="rId113" w:tooltip="Решение Коллегии Евразийской экономической комиссии от 18.11.2013 N 265 (ред. от 15.11.2016) &quot;Об утверждении единой формы сертификата на тип продукции, отвечающей требованиям технического регламента Таможенного союза &quot;О безопасности оборудования, работающего п">
        <w:r>
          <w:rPr>
            <w:color w:val="0000FF"/>
          </w:rPr>
          <w:t>форме</w:t>
        </w:r>
      </w:hyperlink>
      <w:r>
        <w:t>, утверждаемой решением Евразийской экономической комиссии. Указанный сертификат является неотъемлемой частью декларации о соответствии. Содержащиеся в нем заявленные требования к оборудованию, признанные достаточным доказательством соответствия оборудован</w:t>
      </w:r>
      <w:r>
        <w:t>ия требованиям настоящего технического регламента, используются при проверках соблюдения требований настоящего технического регламента, проводимых органами государственного контроля (надзора);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заявитель принимает декларацию о соответствии и осуществляет ее</w:t>
      </w:r>
      <w:r>
        <w:t xml:space="preserve"> регистрацию в установленном порядке.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47. При декларировании соответствия по схемам 1д, 3д и 5д заявителями могут быть зарегистрированные в соответствии с законодательством государства-члена на его территории юридическое лицо или физическое лицо в качестве</w:t>
      </w:r>
      <w:r>
        <w:t xml:space="preserve"> индивидуального предпринимателя, являющиеся изготовителями либо уполномоченными изготовителем лицами.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При декларировании соответствия по схемам 2д и 4д заявителями могут быть зарегистрированные в соответствии с законодательством государства-члена на его т</w:t>
      </w:r>
      <w:r>
        <w:t>ерритории юридическое лицо или физическое лицо в качестве индивидуального предпринимателя, являющиеся изготовителями, продавцами либо уполномоченными изготовителем лицами.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48. В качестве доказательственных материалов, являющихся основанием для принятия дек</w:t>
      </w:r>
      <w:r>
        <w:t xml:space="preserve">ларации о соответствии на основании собственных доказательств, используются документы, указанные в </w:t>
      </w:r>
      <w:hyperlink w:anchor="P470" w:tooltip="45. При проведении подтверждения соответствия заявитель формирует комплект документов на оборудование, который включает в себя:">
        <w:r>
          <w:rPr>
            <w:color w:val="0000FF"/>
          </w:rPr>
          <w:t>пункте 45</w:t>
        </w:r>
      </w:hyperlink>
      <w:r>
        <w:t xml:space="preserve"> настоящего технического регламента, а также стандарты, указанные в </w:t>
      </w:r>
      <w:hyperlink w:anchor="P448" w:tooltip="V. Обеспечение соответствия требованиям безопасности">
        <w:r>
          <w:rPr>
            <w:color w:val="0000FF"/>
          </w:rPr>
          <w:t>разделе V</w:t>
        </w:r>
      </w:hyperlink>
      <w:r>
        <w:t xml:space="preserve"> настоящего технического регламента.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49. Протоколы испытаний оборудования могут использоваться в качестве доказательственных материалов, являющихся основанием для принятия декларации о соответствии на основании собственных доказательств, при наличии в них значений показателей, подтверждающих </w:t>
      </w:r>
      <w:r>
        <w:t>соответствие заявленного оборудования всем распространяющимся на него требованиям настоящего технического регламента.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50. Декларация о соответствии оформляется в соответствии с </w:t>
      </w:r>
      <w:hyperlink r:id="rId114" w:tooltip="Решение Коллегии Евразийской экономической комиссии от 25.12.2012 N 293 (ред. от 20.12.2022) &quot;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&quot; (">
        <w:r>
          <w:rPr>
            <w:color w:val="0000FF"/>
          </w:rPr>
          <w:t>единой формой</w:t>
        </w:r>
      </w:hyperlink>
      <w:r>
        <w:t xml:space="preserve"> декларации о соответствии требованиям технического регламента Таможенного союза и </w:t>
      </w:r>
      <w:hyperlink r:id="rId115" w:tooltip="Решение Коллегии Евразийской экономической комиссии от 25.12.2012 N 293 (ред. от 20.12.2022) &quot;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&quot; (">
        <w:r>
          <w:rPr>
            <w:color w:val="0000FF"/>
          </w:rPr>
          <w:t>правилами</w:t>
        </w:r>
      </w:hyperlink>
      <w:r>
        <w:t xml:space="preserve"> ее оформления, утвержденными Решением Коллегии Евразийской экономической комиссии от 25 декабря 2012 г. N 293.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51. Декларация о соответствии подлежит регистрации в установленном </w:t>
      </w:r>
      <w:hyperlink r:id="rId116" w:tooltip="Решение Коллегии Евразийской экономической комиссии от 20.03.2018 N 41 (ред. от 20.12.2022) &quot;О Порядке регистрации, приостановления, возобновления и прекращения действия деклараций о соответствии продукции требованиям технических регламентов Евразийского эконо">
        <w:r>
          <w:rPr>
            <w:color w:val="0000FF"/>
          </w:rPr>
          <w:t>порядке</w:t>
        </w:r>
      </w:hyperlink>
      <w:r>
        <w:t>. Действие декларации о соответствии начинается со дня ее регистрации в Едином реестре выданных сертификатов соответствия и зарегистрированных деклараций о соответствии. Сро</w:t>
      </w:r>
      <w:r>
        <w:t>к действия декларации о соответствии серийно выпускаемого оборудования составляет не более 5 лет. Для партии оборудования (единичного изделия) срок действия декларации о соответствии не устанавливается.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Декларация о соответствии партии оборудования требова</w:t>
      </w:r>
      <w:r>
        <w:t>ниям настоящего технического регламента действует только в отношении оборудования, относящегося к конкретной партии.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52. Сертификация оборудования осуществляется по следующим схемам: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схема 1с применяется в отношении серийно выпускаемого оборудования, пр</w:t>
      </w:r>
      <w:r>
        <w:t>и этом: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заявитель формирует комплект документов, указанных в </w:t>
      </w:r>
      <w:hyperlink w:anchor="P470" w:tooltip="45. При проведении подтверждения соответствия заявитель формирует комплект документов на оборудование, который включает в себя:">
        <w:r>
          <w:rPr>
            <w:color w:val="0000FF"/>
          </w:rPr>
          <w:t>пункте 45</w:t>
        </w:r>
      </w:hyperlink>
      <w:r>
        <w:t xml:space="preserve"> настоящего технического р</w:t>
      </w:r>
      <w:r>
        <w:t>егламента, и подает заявку на сертификацию в орган по сертификации;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орган по сертификации проводит отбор образцов у заявителя для проведения испытаний;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аккредитованная испытательная лаборатория проводит испытания образцов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орган по сертификации проводит анализ состояния производства изготовителя и результатов проведенных испытаний образцов оборудования и при положительных результатах выдает з</w:t>
      </w:r>
      <w:r>
        <w:t>аявителю сертификат соответствия;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орган по сертификации проводит инспекционный контроль за сертифицированным оборудованием посредством испытаний образцов в аккредитованной испытательной лаборатории и (или) анализа состояния производства;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схема 3с примен</w:t>
      </w:r>
      <w:r>
        <w:t>яется в отношении партии оборудования, при этом: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заявитель формирует комплект документов, указанных в </w:t>
      </w:r>
      <w:hyperlink w:anchor="P470" w:tooltip="45. При проведении подтверждения соответствия заявитель формирует комплект документов на оборудование, который включает в себя:">
        <w:r>
          <w:rPr>
            <w:color w:val="0000FF"/>
          </w:rPr>
          <w:t>пункте 45</w:t>
        </w:r>
      </w:hyperlink>
      <w:r>
        <w:t xml:space="preserve"> настоящего технического регламента, и подает заявку на сертификацию в орган по сертификации;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орган по сертификации или аккредитованная испытательная лаборатория проводит отбор образцов у заявителя для проведения испытаний;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аккредитованная и</w:t>
      </w:r>
      <w:r>
        <w:t>спытательная лаборатория проводит испытания образцов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орган по сертификации проводит анализ результатов испытаний образцов оборудования и при положительных результатах выдает заявителю сертификат соответствия;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схема 4с применяется в отношен</w:t>
      </w:r>
      <w:r>
        <w:t>ии единичного изделия, при этом: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заявитель формирует комплект документов, указанных в </w:t>
      </w:r>
      <w:hyperlink w:anchor="P470" w:tooltip="45. При проведении подтверждения соответствия заявитель формирует комплект документов на оборудование, который включает в себя:">
        <w:r>
          <w:rPr>
            <w:color w:val="0000FF"/>
          </w:rPr>
          <w:t>пункте 45</w:t>
        </w:r>
      </w:hyperlink>
      <w:r>
        <w:t xml:space="preserve"> </w:t>
      </w:r>
      <w:r>
        <w:t>настоящего технического регламента, и подает заявку на сертификацию в орган по сертификации, в которой должны содержаться идентифицирующие признаки единичного изделия;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орган по сертификации сообщает заявителю решение по заявке, содержащее условия проведени</w:t>
      </w:r>
      <w:r>
        <w:t>я сертификации;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аккредитованная испытательная лаборатория по поручению органа по сертификации проводит испытания единичного изделия;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орган по сертификации проводит анализ результатов испытаний единичного изделия и при положительных результатах выдает заяви</w:t>
      </w:r>
      <w:r>
        <w:t>телю сертификат соответствия;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схема 7с применяется в отношении оборудования, предназначенного для постановки на серийное и массовое производство, а также в случае планирования модификаций оборудования, при этом: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заявитель формирует комплект документов, </w:t>
      </w:r>
      <w:r>
        <w:t xml:space="preserve">указанных в </w:t>
      </w:r>
      <w:hyperlink w:anchor="P470" w:tooltip="45. При проведении подтверждения соответствия заявитель формирует комплект документов на оборудование, который включает в себя:">
        <w:r>
          <w:rPr>
            <w:color w:val="0000FF"/>
          </w:rPr>
          <w:t>пункте 45</w:t>
        </w:r>
      </w:hyperlink>
      <w:r>
        <w:t xml:space="preserve"> настоящего технического регламента, и подает заявку на сертификацию в орга</w:t>
      </w:r>
      <w:r>
        <w:t>н по сертификации;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орган по сертификации проводит исследование типа оборудования одним из следующих способов: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исследование образца оборудования для запланированного производства как типового представителя всей будущей продукции;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анализ технической документации, испытания образца оборудования или основных составных элементов.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Результаты исследования оформляются заключением, в котором орган по сертификации дает оценку соответствия типа оборудования установленным требованиям.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Анализ </w:t>
      </w:r>
      <w:r>
        <w:t>состояния производства у заявителя проводится органом по сертификации. Результаты анализа оформляются актом.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При положительных результатах исследования типа оборудования и анализа производства орган по сертификации оформляет сертификат соответствия и выдае</w:t>
      </w:r>
      <w:r>
        <w:t>т его заявителю.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53. Орган по сертификации проводит инспекционный контроль сертифицированного оборудования в течение всего срока действия сертификата посредством проведения испытаний образцов оборудования в аккредитованной испытательной лаборатории и (или)</w:t>
      </w:r>
      <w:r>
        <w:t xml:space="preserve"> анализа состояния производства. При положительных результатах инспекционного контроля действие сертификата соответствия считается подтвержденным, о чем указывается в акте инспекционного контроля. При отрицательных результатах инспекционного контроля орган</w:t>
      </w:r>
      <w:r>
        <w:t xml:space="preserve"> по сертификации принимает одно из следующих решений: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приостановить действие сертификата соответствия;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отменить действие сертификата соответствия.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54. При внесении изменений в конструкцию (состав) оборудования или технологию его производства, которые</w:t>
      </w:r>
      <w:r>
        <w:t xml:space="preserve"> могут повлиять на соответствие оборудования требованиям настоящего технического регламента, заявитель заранее письменно извещает об этом орган по сертификации, который принимает решение о необходимости проведения новых испытаний и (или) анализа состояния </w:t>
      </w:r>
      <w:r>
        <w:t>производства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55. При сертификации по схемам 1с и 7с заявителями могут быть зарегистрированные в соответствии с законодательством государства-члена на его территории юридическое лицо или физическое лицо в качестве индивидуального предпринимате</w:t>
      </w:r>
      <w:r>
        <w:t>ля, являющиеся изготовителями либо уполномоченными изготовителем лицами.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При сертификации по схемам 3с и 4с заявителями могут быть зарегистрированные в соответствии с законодательством государства-члена на его территории юридическое лицо или физическое лиц</w:t>
      </w:r>
      <w:r>
        <w:t>о в качестве индивидуального предпринимателя, являющиеся изготовителями, продавцами либо уполномоченными изготовителем лицами.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56. Заявитель может обратиться с заявкой на проведение сертификации в любой орган по сертификации, имеющий соответствующую область аккредитации.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57. Сертификат соответствия оформляется в соответствии с </w:t>
      </w:r>
      <w:hyperlink r:id="rId117" w:tooltip="Решение Коллегии Евразийской экономической комиссии от 25.12.2012 N 293 (ред. от 20.12.2022) &quot;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&quot; (">
        <w:r>
          <w:rPr>
            <w:color w:val="0000FF"/>
          </w:rPr>
          <w:t>единой формой</w:t>
        </w:r>
      </w:hyperlink>
      <w:r>
        <w:t xml:space="preserve"> сертификата соответствия требованиям технического регламента Таможенного союза и </w:t>
      </w:r>
      <w:hyperlink r:id="rId118" w:tooltip="Решение Коллегии Евразийской экономической комиссии от 25.12.2012 N 293 (ред. от 20.12.2022) &quot;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&quot; (">
        <w:r>
          <w:rPr>
            <w:color w:val="0000FF"/>
          </w:rPr>
          <w:t>правилами</w:t>
        </w:r>
      </w:hyperlink>
      <w:r>
        <w:t xml:space="preserve"> его оформления, утвержденными Решением Коллегии Евразийской экономической комиссии от 25 декабря 2012 г. N 293.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58. Срок действия сертификата соответствия оборудования составляет: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при использовании схем</w:t>
      </w:r>
      <w:r>
        <w:t>ы 1с, 3с и 4с - 5 лет;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при использовании схемы 7с - в течение назначенного срока службы или назначенного ресурса.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59. Документы и материалы, подтверждающие результаты сертификации, хранятся в органе по сертификации, выдавшем сертификат соответствия, в т</w:t>
      </w:r>
      <w:r>
        <w:t>ечение расчетного срока службы оборудования, прошедшего процедуру сертификации.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60. По требованию потребителей (приобретателей) и (или) заинтересованных лиц копия декларации о соответствии или сертификата соответствия должна быть предоставлена им безвозмез</w:t>
      </w:r>
      <w:r>
        <w:t>дно изготовителем (уполномоченным изготовителем лицом) или продавцом.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Title0"/>
        <w:jc w:val="center"/>
        <w:outlineLvl w:val="1"/>
      </w:pPr>
      <w:r>
        <w:t xml:space="preserve">VII. </w:t>
      </w:r>
      <w:hyperlink r:id="rId119" w:tooltip="Решение Комиссии Таможенного союза от 15.07.2011 N 711 (ред. от 17.03.2016) &quot;О едином знаке обращения продукции на рынке Евразийского экономического союза и порядке его применения&quot; (вместе с &quot;Порядком применения единого знака обращения продукции на рынке Евраз">
        <w:r>
          <w:rPr>
            <w:color w:val="0000FF"/>
          </w:rPr>
          <w:t>Маркировка</w:t>
        </w:r>
      </w:hyperlink>
      <w:r>
        <w:t xml:space="preserve"> оборудования единым знаком обращения</w:t>
      </w:r>
    </w:p>
    <w:p w:rsidR="00C900B7" w:rsidRDefault="00E35299">
      <w:pPr>
        <w:pStyle w:val="ConsPlusTitle0"/>
        <w:jc w:val="center"/>
      </w:pPr>
      <w:r>
        <w:t>про</w:t>
      </w:r>
      <w:r>
        <w:t>дукции на рынке Союза</w:t>
      </w:r>
    </w:p>
    <w:p w:rsidR="00C900B7" w:rsidRDefault="00E35299">
      <w:pPr>
        <w:pStyle w:val="ConsPlusNormal0"/>
        <w:jc w:val="center"/>
      </w:pPr>
      <w:r>
        <w:t xml:space="preserve">(в ред. </w:t>
      </w:r>
      <w:hyperlink r:id="rId12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</w:t>
      </w:r>
    </w:p>
    <w:p w:rsidR="00C900B7" w:rsidRDefault="00E35299">
      <w:pPr>
        <w:pStyle w:val="ConsPlusNormal0"/>
        <w:jc w:val="center"/>
      </w:pPr>
      <w:r>
        <w:t>от 23.04.2021 N 49)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ind w:firstLine="540"/>
        <w:jc w:val="both"/>
      </w:pPr>
      <w:r>
        <w:t>61. Оборудование, соответствующее требованиям нас</w:t>
      </w:r>
      <w:r>
        <w:t>тоящего технического регламента и прошедшее процедуру подтверждения соответствия, маркируется единым знаком обращения продукции на рынке Союза.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21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62. Маркировка единым знаком обращения продукции на рынке Союза осуществляется перед выпуском оборудования в обращение на этом рынке.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22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63. Единый знак обращения продукции на рынке Союза наносится на каждую единицу оборудования любым способом, обеспечивающим</w:t>
      </w:r>
      <w:r>
        <w:t xml:space="preserve"> четкое и ясное изображение в течение всего срока службы оборудования, а также приводится в прилагаемых к ней эксплуатационных документах.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23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</w:t>
        </w:r>
        <w:r>
          <w:rPr>
            <w:color w:val="0000FF"/>
          </w:rPr>
          <w:t>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64. Маркировка оборудования единым знаком обращения продукции на рынке Союза свидетельствует о соответствии его требованиям всех технических регламентов Союза (Таможенного союза), действие </w:t>
      </w:r>
      <w:r>
        <w:t>которых распространяется на это оборудование, предусматривающих нанесение единого знака обращения продукции на рынке Союза.</w:t>
      </w:r>
    </w:p>
    <w:p w:rsidR="00C900B7" w:rsidRDefault="00E35299">
      <w:pPr>
        <w:pStyle w:val="ConsPlusNormal0"/>
        <w:jc w:val="both"/>
      </w:pPr>
      <w:r>
        <w:t xml:space="preserve">(п. 64 в ред. </w:t>
      </w:r>
      <w:hyperlink r:id="rId12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Title0"/>
        <w:jc w:val="center"/>
        <w:outlineLvl w:val="1"/>
      </w:pPr>
      <w:r>
        <w:t>VIII. Защитительная оговорка</w:t>
      </w:r>
    </w:p>
    <w:p w:rsidR="00C900B7" w:rsidRDefault="00C900B7">
      <w:pPr>
        <w:pStyle w:val="ConsPlusNormal0"/>
        <w:jc w:val="center"/>
      </w:pPr>
    </w:p>
    <w:p w:rsidR="00C900B7" w:rsidRDefault="00E35299">
      <w:pPr>
        <w:pStyle w:val="ConsPlusNormal0"/>
        <w:ind w:firstLine="540"/>
        <w:jc w:val="both"/>
      </w:pPr>
      <w:r>
        <w:t xml:space="preserve">Утратил силу. - </w:t>
      </w:r>
      <w:hyperlink r:id="rId125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</w:t>
        </w:r>
      </w:hyperlink>
      <w:r>
        <w:t xml:space="preserve"> Совета Евразийской экономической комиссии от 23.04.2021 N 49.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jc w:val="right"/>
        <w:outlineLvl w:val="1"/>
      </w:pPr>
      <w:r>
        <w:t>Приложение N 1</w:t>
      </w:r>
    </w:p>
    <w:p w:rsidR="00C900B7" w:rsidRDefault="00E35299">
      <w:pPr>
        <w:pStyle w:val="ConsPlusNormal0"/>
        <w:jc w:val="right"/>
      </w:pPr>
      <w:r>
        <w:t>к техническому регламенту Таможенного</w:t>
      </w:r>
    </w:p>
    <w:p w:rsidR="00C900B7" w:rsidRDefault="00E35299">
      <w:pPr>
        <w:pStyle w:val="ConsPlusNormal0"/>
        <w:jc w:val="right"/>
      </w:pPr>
      <w:r>
        <w:t>союза "О безопасности об</w:t>
      </w:r>
      <w:r>
        <w:t>орудования,</w:t>
      </w:r>
    </w:p>
    <w:p w:rsidR="00C900B7" w:rsidRDefault="00E35299">
      <w:pPr>
        <w:pStyle w:val="ConsPlusNormal0"/>
        <w:jc w:val="right"/>
      </w:pPr>
      <w:r>
        <w:t>работающего под избыточным давлением"</w:t>
      </w:r>
    </w:p>
    <w:p w:rsidR="00C900B7" w:rsidRDefault="00E35299">
      <w:pPr>
        <w:pStyle w:val="ConsPlusNormal0"/>
        <w:jc w:val="right"/>
      </w:pPr>
      <w:r>
        <w:t>(ТР ТС 032/2013)</w:t>
      </w:r>
    </w:p>
    <w:p w:rsidR="00C900B7" w:rsidRDefault="00C900B7">
      <w:pPr>
        <w:pStyle w:val="ConsPlusNormal0"/>
        <w:jc w:val="right"/>
      </w:pPr>
    </w:p>
    <w:p w:rsidR="00C900B7" w:rsidRDefault="00E35299">
      <w:pPr>
        <w:pStyle w:val="ConsPlusTitle0"/>
        <w:jc w:val="center"/>
      </w:pPr>
      <w:bookmarkStart w:id="11" w:name="P572"/>
      <w:bookmarkEnd w:id="11"/>
      <w:r>
        <w:t>КЛАССИФИКАЦИЯ ОБОРУДОВАНИЯ ПО КАТЕГОРИЯМ ОПАСНОСТИ</w:t>
      </w:r>
    </w:p>
    <w:p w:rsidR="00C900B7" w:rsidRDefault="00C900B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900B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6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Совета Евразийской экономической комиссии</w:t>
            </w:r>
          </w:p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>от 23.04.2021 N 49)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</w:tr>
    </w:tbl>
    <w:p w:rsidR="00C900B7" w:rsidRDefault="00C900B7">
      <w:pPr>
        <w:pStyle w:val="ConsPlusNormal0"/>
        <w:jc w:val="center"/>
      </w:pPr>
    </w:p>
    <w:p w:rsidR="00C900B7" w:rsidRDefault="00E35299">
      <w:pPr>
        <w:pStyle w:val="ConsPlusNormal0"/>
        <w:ind w:firstLine="540"/>
        <w:jc w:val="both"/>
      </w:pPr>
      <w:r>
        <w:t xml:space="preserve">1. Категории оборудования определяются в соответствии с </w:t>
      </w:r>
      <w:hyperlink w:anchor="P589" w:tooltip="Категории сосудов, предназначенных для сжатых, сжиженных,">
        <w:r>
          <w:rPr>
            <w:color w:val="0000FF"/>
          </w:rPr>
          <w:t>таблицами 1</w:t>
        </w:r>
      </w:hyperlink>
      <w:r>
        <w:t xml:space="preserve"> - </w:t>
      </w:r>
      <w:hyperlink w:anchor="P902" w:tooltip="Категории трубопроводов и арматуры, предназначенных">
        <w:r>
          <w:rPr>
            <w:color w:val="0000FF"/>
          </w:rPr>
          <w:t>9</w:t>
        </w:r>
      </w:hyperlink>
      <w:r>
        <w:t xml:space="preserve"> настоящего документа.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Элементы оборудования (сборочные единицы) и ко</w:t>
      </w:r>
      <w:r>
        <w:t>мплектующие к нему, выдерживающие воздействие давления, показывающие и предохранительные устройства, устройства и приборы безопасности классифицируются по 4-й категории. В случае их изготовления (производства) для конкретного оборудования они могут классиф</w:t>
      </w:r>
      <w:r>
        <w:t>ицироваться по той же категории, что и оборудование, для которого они изготовлены (произведены).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Если оборудование предназначено для различных рабочих сред одной группы или для рабочих сред разных групп, то оно классифицируется по категории наибольшей груп</w:t>
      </w:r>
      <w:r>
        <w:t>пы из определенных для каждой рабочей среды.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2. Категория оборудования увеличивается на 1 (кроме 4-й категории), если оно предназначено для эксплуатации с расчетной температурой стенки: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380 °C и более - для углеродистых и низколегированных марганцовистых и</w:t>
      </w:r>
      <w:r>
        <w:t xml:space="preserve"> кремнемарганцовистых сталей;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450 °C и более - для низколегированных хромомолибденовых и хромомолибденованадиевых сталей;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525 °C и более - для легированных высокохромистых мартенситного класса и аустенитных сталей;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575 °C и более - для сплавов на железоник</w:t>
      </w:r>
      <w:r>
        <w:t>елевой основе;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600 °C и более - для сплавов на никелевой основе.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Normal0"/>
        <w:jc w:val="right"/>
        <w:outlineLvl w:val="2"/>
      </w:pPr>
      <w:r>
        <w:t>Таблица 1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Title0"/>
        <w:jc w:val="center"/>
      </w:pPr>
      <w:bookmarkStart w:id="12" w:name="P589"/>
      <w:bookmarkEnd w:id="12"/>
      <w:r>
        <w:t>Категории сосудов, предназначенных для сжатых, сжиженных,</w:t>
      </w:r>
    </w:p>
    <w:p w:rsidR="00C900B7" w:rsidRDefault="00E35299">
      <w:pPr>
        <w:pStyle w:val="ConsPlusTitle0"/>
        <w:jc w:val="center"/>
      </w:pPr>
      <w:r>
        <w:t>растворенных под давлением газов и паров и используемых</w:t>
      </w:r>
    </w:p>
    <w:p w:rsidR="00C900B7" w:rsidRDefault="00E35299">
      <w:pPr>
        <w:pStyle w:val="ConsPlusTitle0"/>
        <w:jc w:val="center"/>
      </w:pPr>
      <w:r>
        <w:t>для рабочих сред группы 1</w:t>
      </w:r>
    </w:p>
    <w:p w:rsidR="00C900B7" w:rsidRDefault="00C900B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5"/>
        <w:gridCol w:w="2578"/>
        <w:gridCol w:w="2578"/>
        <w:gridCol w:w="2578"/>
      </w:tblGrid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Категория оборудования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Вместимость оборудования (м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Произведение значения расчетного давления и значения вместимости (МПа·м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Расчетное давление (МПа)</w:t>
            </w:r>
          </w:p>
        </w:tc>
      </w:tr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4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1-я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0,001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0,0025</w:t>
            </w:r>
          </w:p>
          <w:p w:rsidR="00C900B7" w:rsidRDefault="00E35299">
            <w:pPr>
              <w:pStyle w:val="ConsPlusNormal0"/>
              <w:jc w:val="center"/>
            </w:pPr>
            <w:r>
              <w:t>до 0,005 включительно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2-я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0,001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0,005</w:t>
            </w:r>
          </w:p>
          <w:p w:rsidR="00C900B7" w:rsidRDefault="00E35299">
            <w:pPr>
              <w:pStyle w:val="ConsPlusNormal0"/>
              <w:jc w:val="center"/>
            </w:pPr>
            <w:r>
              <w:t>до 0,02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3-я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0,0001</w:t>
            </w:r>
          </w:p>
          <w:p w:rsidR="00C900B7" w:rsidRDefault="00E35299">
            <w:pPr>
              <w:pStyle w:val="ConsPlusNormal0"/>
              <w:jc w:val="center"/>
            </w:pPr>
            <w:r>
              <w:t>до 0,001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не нормируется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20</w:t>
            </w:r>
          </w:p>
          <w:p w:rsidR="00C900B7" w:rsidRDefault="00E35299">
            <w:pPr>
              <w:pStyle w:val="ConsPlusNormal0"/>
              <w:jc w:val="center"/>
            </w:pPr>
            <w:r>
              <w:t>до 100 включительно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C900B7">
            <w:pPr>
              <w:pStyle w:val="ConsPlusNormal0"/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0,001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0,02</w:t>
            </w:r>
          </w:p>
          <w:p w:rsidR="00C900B7" w:rsidRDefault="00E35299">
            <w:pPr>
              <w:pStyle w:val="ConsPlusNormal0"/>
              <w:jc w:val="center"/>
            </w:pPr>
            <w:r>
              <w:t>до 0,1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4-я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0,0001</w:t>
            </w:r>
          </w:p>
          <w:p w:rsidR="00C900B7" w:rsidRDefault="00E35299">
            <w:pPr>
              <w:pStyle w:val="ConsPlusNormal0"/>
              <w:jc w:val="center"/>
            </w:pPr>
            <w:r>
              <w:t>до 0,001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не нормируется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100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C900B7">
            <w:pPr>
              <w:pStyle w:val="ConsPlusNormal0"/>
            </w:pP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0,001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0,1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</w:tc>
      </w:tr>
    </w:tbl>
    <w:p w:rsidR="00C900B7" w:rsidRDefault="00C900B7">
      <w:pPr>
        <w:pStyle w:val="ConsPlusNormal0"/>
        <w:jc w:val="both"/>
      </w:pPr>
    </w:p>
    <w:p w:rsidR="00C900B7" w:rsidRDefault="00E35299">
      <w:pPr>
        <w:pStyle w:val="ConsPlusNormal0"/>
        <w:jc w:val="right"/>
        <w:outlineLvl w:val="2"/>
      </w:pPr>
      <w:r>
        <w:t>Таблица 2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Title0"/>
        <w:jc w:val="center"/>
      </w:pPr>
      <w:bookmarkStart w:id="13" w:name="P634"/>
      <w:bookmarkEnd w:id="13"/>
      <w:r>
        <w:t>Категории сосудов, предназначенных для сжатых, сжиженных,</w:t>
      </w:r>
    </w:p>
    <w:p w:rsidR="00C900B7" w:rsidRDefault="00E35299">
      <w:pPr>
        <w:pStyle w:val="ConsPlusTitle0"/>
        <w:jc w:val="center"/>
      </w:pPr>
      <w:r>
        <w:t>растворенных под давлением газов и паров и используемых</w:t>
      </w:r>
    </w:p>
    <w:p w:rsidR="00C900B7" w:rsidRDefault="00E35299">
      <w:pPr>
        <w:pStyle w:val="ConsPlusTitle0"/>
        <w:jc w:val="center"/>
      </w:pPr>
      <w:r>
        <w:t>для рабочих сред группы 2</w:t>
      </w:r>
    </w:p>
    <w:p w:rsidR="00C900B7" w:rsidRDefault="00C900B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5"/>
        <w:gridCol w:w="2578"/>
        <w:gridCol w:w="2578"/>
        <w:gridCol w:w="2578"/>
      </w:tblGrid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Категория оборудования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Вместимость оборудования (м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Произведение значения расчетного давления и значения вместимости (МПа·м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Расчетное давление (МПа)</w:t>
            </w:r>
          </w:p>
        </w:tc>
      </w:tr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4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1-я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0,001</w:t>
            </w:r>
          </w:p>
          <w:p w:rsidR="00C900B7" w:rsidRDefault="00E35299">
            <w:pPr>
              <w:pStyle w:val="ConsPlusNormal0"/>
              <w:jc w:val="center"/>
            </w:pPr>
            <w:r>
              <w:t>до 0,4 включительно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0,005</w:t>
            </w:r>
          </w:p>
          <w:p w:rsidR="00C900B7" w:rsidRDefault="00E35299">
            <w:pPr>
              <w:pStyle w:val="ConsPlusNormal0"/>
              <w:jc w:val="center"/>
            </w:pPr>
            <w:r>
              <w:t>до 0,02 включительно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  <w:p w:rsidR="00C900B7" w:rsidRDefault="00E35299">
            <w:pPr>
              <w:pStyle w:val="ConsPlusNormal0"/>
              <w:jc w:val="center"/>
            </w:pPr>
            <w:r>
              <w:t>до 20 включительно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2-я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0,001</w:t>
            </w:r>
          </w:p>
          <w:p w:rsidR="00C900B7" w:rsidRDefault="00E35299">
            <w:pPr>
              <w:pStyle w:val="ConsPlusNormal0"/>
              <w:jc w:val="center"/>
            </w:pPr>
            <w:r>
              <w:t>до 2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0,02</w:t>
            </w:r>
          </w:p>
          <w:p w:rsidR="00C900B7" w:rsidRDefault="00E35299">
            <w:pPr>
              <w:pStyle w:val="ConsPlusNormal0"/>
              <w:jc w:val="center"/>
            </w:pPr>
            <w:r>
              <w:t>до 0,1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  <w:p w:rsidR="00C900B7" w:rsidRDefault="00E35299">
            <w:pPr>
              <w:pStyle w:val="ConsPlusNormal0"/>
              <w:jc w:val="center"/>
            </w:pPr>
            <w:r>
              <w:t>до 100 включительно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3-я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0,0001</w:t>
            </w:r>
          </w:p>
          <w:p w:rsidR="00C900B7" w:rsidRDefault="00E35299">
            <w:pPr>
              <w:pStyle w:val="ConsPlusNormal0"/>
              <w:jc w:val="center"/>
            </w:pPr>
            <w:r>
              <w:t>до 0,001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не нормируется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100</w:t>
            </w:r>
          </w:p>
          <w:p w:rsidR="00C900B7" w:rsidRDefault="00E35299">
            <w:pPr>
              <w:pStyle w:val="ConsPlusNormal0"/>
              <w:jc w:val="center"/>
            </w:pPr>
            <w:r>
              <w:t>до 300 включительно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C900B7">
            <w:pPr>
              <w:pStyle w:val="ConsPlusNormal0"/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0,001</w:t>
            </w:r>
          </w:p>
          <w:p w:rsidR="00C900B7" w:rsidRDefault="00E35299">
            <w:pPr>
              <w:pStyle w:val="ConsPlusNormal0"/>
              <w:jc w:val="center"/>
            </w:pPr>
            <w:r>
              <w:t>до 0,75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0,1</w:t>
            </w:r>
          </w:p>
          <w:p w:rsidR="00C900B7" w:rsidRDefault="00E35299">
            <w:pPr>
              <w:pStyle w:val="ConsPlusNormal0"/>
              <w:jc w:val="center"/>
            </w:pPr>
            <w:r>
              <w:t>до 0,3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C900B7">
            <w:pPr>
              <w:pStyle w:val="ConsPlusNormal0"/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0,75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0,1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  <w:p w:rsidR="00C900B7" w:rsidRDefault="00E35299">
            <w:pPr>
              <w:pStyle w:val="ConsPlusNormal0"/>
              <w:jc w:val="center"/>
            </w:pPr>
            <w:r>
              <w:t>до 0,4 включительно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4-я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0,0001</w:t>
            </w:r>
          </w:p>
          <w:p w:rsidR="00C900B7" w:rsidRDefault="00E35299">
            <w:pPr>
              <w:pStyle w:val="ConsPlusNormal0"/>
              <w:jc w:val="center"/>
            </w:pPr>
            <w:r>
              <w:t>до 0,001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не нормируется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300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C900B7">
            <w:pPr>
              <w:pStyle w:val="ConsPlusNormal0"/>
            </w:pP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0,001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0,3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0,4</w:t>
            </w:r>
          </w:p>
        </w:tc>
      </w:tr>
    </w:tbl>
    <w:p w:rsidR="00C900B7" w:rsidRDefault="00C900B7">
      <w:pPr>
        <w:pStyle w:val="ConsPlusNormal0"/>
        <w:jc w:val="both"/>
      </w:pPr>
    </w:p>
    <w:p w:rsidR="00C900B7" w:rsidRDefault="00E35299">
      <w:pPr>
        <w:pStyle w:val="ConsPlusNormal0"/>
        <w:jc w:val="right"/>
        <w:outlineLvl w:val="2"/>
      </w:pPr>
      <w:r>
        <w:t>Таблица 3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Title0"/>
        <w:jc w:val="center"/>
      </w:pPr>
      <w:bookmarkStart w:id="14" w:name="P689"/>
      <w:bookmarkEnd w:id="14"/>
      <w:r>
        <w:t>Категории сосудов, предназначенных для жидкостей</w:t>
      </w:r>
    </w:p>
    <w:p w:rsidR="00C900B7" w:rsidRDefault="00E35299">
      <w:pPr>
        <w:pStyle w:val="ConsPlusTitle0"/>
        <w:jc w:val="center"/>
      </w:pPr>
      <w:r>
        <w:t>и используемых для рабочих сред группы 1</w:t>
      </w:r>
    </w:p>
    <w:p w:rsidR="00C900B7" w:rsidRDefault="00C900B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5"/>
        <w:gridCol w:w="2578"/>
        <w:gridCol w:w="2578"/>
        <w:gridCol w:w="2578"/>
      </w:tblGrid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Категория оборудования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Вместимость оборудования (м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Произведение значения расчетного давления и значения вместимости (МПа·м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Расчетное давление (МПа)</w:t>
            </w:r>
          </w:p>
        </w:tc>
      </w:tr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4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1-я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0,02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0,02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  <w:p w:rsidR="00C900B7" w:rsidRDefault="00E35299">
            <w:pPr>
              <w:pStyle w:val="ConsPlusNormal0"/>
              <w:jc w:val="center"/>
            </w:pPr>
            <w:r>
              <w:t>до 1 включительно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2-я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0,0001</w:t>
            </w:r>
          </w:p>
          <w:p w:rsidR="00C900B7" w:rsidRDefault="00E35299">
            <w:pPr>
              <w:pStyle w:val="ConsPlusNormal0"/>
              <w:jc w:val="center"/>
            </w:pPr>
            <w:r>
              <w:t>до 0,001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не нормируется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50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C900B7">
            <w:pPr>
              <w:pStyle w:val="ConsPlusNormal0"/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0,001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0,02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1</w:t>
            </w:r>
          </w:p>
          <w:p w:rsidR="00C900B7" w:rsidRDefault="00E35299">
            <w:pPr>
              <w:pStyle w:val="ConsPlusNormal0"/>
              <w:jc w:val="center"/>
            </w:pPr>
            <w:r>
              <w:t>до 50 включительно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3-я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свыше 0,001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не нормируется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свыше 50</w:t>
            </w:r>
          </w:p>
        </w:tc>
      </w:tr>
    </w:tbl>
    <w:p w:rsidR="00C900B7" w:rsidRDefault="00C900B7">
      <w:pPr>
        <w:pStyle w:val="ConsPlusNormal0"/>
        <w:jc w:val="both"/>
      </w:pPr>
    </w:p>
    <w:p w:rsidR="00C900B7" w:rsidRDefault="00E35299">
      <w:pPr>
        <w:pStyle w:val="ConsPlusNormal0"/>
        <w:jc w:val="right"/>
        <w:outlineLvl w:val="2"/>
      </w:pPr>
      <w:r>
        <w:t>Таблица 4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Title0"/>
        <w:jc w:val="center"/>
      </w:pPr>
      <w:bookmarkStart w:id="15" w:name="P722"/>
      <w:bookmarkEnd w:id="15"/>
      <w:r>
        <w:t>Категории сосудов, предназначенных для жидкостей</w:t>
      </w:r>
    </w:p>
    <w:p w:rsidR="00C900B7" w:rsidRDefault="00E35299">
      <w:pPr>
        <w:pStyle w:val="ConsPlusTitle0"/>
        <w:jc w:val="center"/>
      </w:pPr>
      <w:r>
        <w:t>и используемых для рабочих сред группы 2</w:t>
      </w:r>
    </w:p>
    <w:p w:rsidR="00C900B7" w:rsidRDefault="00C900B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5"/>
        <w:gridCol w:w="2578"/>
        <w:gridCol w:w="2578"/>
        <w:gridCol w:w="2578"/>
      </w:tblGrid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Категория оборудования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Вместимость оборудования (м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Произведение значения расчетного давления и значения вместимости (МПа·м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Расчетное давление (МПа)</w:t>
            </w:r>
          </w:p>
        </w:tc>
      </w:tr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4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1-я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0,0001</w:t>
            </w:r>
          </w:p>
          <w:p w:rsidR="00C900B7" w:rsidRDefault="00E35299">
            <w:pPr>
              <w:pStyle w:val="ConsPlusNormal0"/>
              <w:jc w:val="center"/>
            </w:pPr>
            <w:r>
              <w:t>до 0,01 включительно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не нормируется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100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C900B7">
            <w:pPr>
              <w:pStyle w:val="ConsPlusNormal0"/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0,02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1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1</w:t>
            </w:r>
          </w:p>
          <w:p w:rsidR="00C900B7" w:rsidRDefault="00E35299">
            <w:pPr>
              <w:pStyle w:val="ConsPlusNormal0"/>
              <w:jc w:val="center"/>
            </w:pPr>
            <w:r>
              <w:t>до 50 включительно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2-я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свыше 0,01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свыше 1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свыше 50</w:t>
            </w:r>
          </w:p>
        </w:tc>
      </w:tr>
    </w:tbl>
    <w:p w:rsidR="00C900B7" w:rsidRDefault="00C900B7">
      <w:pPr>
        <w:pStyle w:val="ConsPlusNormal0"/>
        <w:jc w:val="both"/>
      </w:pPr>
    </w:p>
    <w:p w:rsidR="00C900B7" w:rsidRDefault="00E35299">
      <w:pPr>
        <w:pStyle w:val="ConsPlusNormal0"/>
        <w:jc w:val="right"/>
        <w:outlineLvl w:val="2"/>
      </w:pPr>
      <w:r>
        <w:t>Таблица 5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Title0"/>
        <w:jc w:val="center"/>
      </w:pPr>
      <w:bookmarkStart w:id="16" w:name="P750"/>
      <w:bookmarkEnd w:id="16"/>
      <w:r>
        <w:t>Категории паровых, водогрейных котлов и сосудов</w:t>
      </w:r>
    </w:p>
    <w:p w:rsidR="00C900B7" w:rsidRDefault="00E35299">
      <w:pPr>
        <w:pStyle w:val="ConsPlusTitle0"/>
        <w:jc w:val="center"/>
      </w:pPr>
      <w:r>
        <w:t>с огневым обогревом</w:t>
      </w:r>
    </w:p>
    <w:p w:rsidR="00C900B7" w:rsidRDefault="00C900B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5"/>
        <w:gridCol w:w="2578"/>
        <w:gridCol w:w="2578"/>
        <w:gridCol w:w="2578"/>
      </w:tblGrid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Категория оборудования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Вместимость оборудования (м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Произведение значения расчетного давления и значения вместимости (МПа·м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Расчетное давление (МПа)</w:t>
            </w:r>
          </w:p>
        </w:tc>
      </w:tr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4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1-я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0,002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до 0,005 включительно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2-я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0,002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0,005</w:t>
            </w:r>
          </w:p>
          <w:p w:rsidR="00C900B7" w:rsidRDefault="00E35299">
            <w:pPr>
              <w:pStyle w:val="ConsPlusNormal0"/>
              <w:jc w:val="center"/>
            </w:pPr>
            <w:r>
              <w:t>до 0,02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  <w:p w:rsidR="00C900B7" w:rsidRDefault="00E35299">
            <w:pPr>
              <w:pStyle w:val="ConsPlusNormal0"/>
              <w:jc w:val="center"/>
            </w:pPr>
            <w:r>
              <w:t>до 3,2 включительно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3-я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0,002</w:t>
            </w:r>
          </w:p>
          <w:p w:rsidR="00C900B7" w:rsidRDefault="00E35299">
            <w:pPr>
              <w:pStyle w:val="ConsPlusNormal0"/>
              <w:jc w:val="center"/>
            </w:pPr>
            <w:r>
              <w:t>до 1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0,02</w:t>
            </w:r>
          </w:p>
          <w:p w:rsidR="00C900B7" w:rsidRDefault="00E35299">
            <w:pPr>
              <w:pStyle w:val="ConsPlusNormal0"/>
              <w:jc w:val="center"/>
            </w:pPr>
            <w:r>
              <w:t>до 0,3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  <w:p w:rsidR="00C900B7" w:rsidRDefault="00E35299">
            <w:pPr>
              <w:pStyle w:val="ConsPlusNormal0"/>
              <w:jc w:val="center"/>
            </w:pPr>
            <w:r>
              <w:t>до 3,2 включительно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4-я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0,002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не нормируется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3,2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C900B7">
            <w:pPr>
              <w:pStyle w:val="ConsPlusNormal0"/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0,002</w:t>
            </w:r>
          </w:p>
          <w:p w:rsidR="00C900B7" w:rsidRDefault="00E35299">
            <w:pPr>
              <w:pStyle w:val="ConsPlusNormal0"/>
              <w:jc w:val="center"/>
            </w:pPr>
            <w:r>
              <w:t>до 1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0,3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  <w:p w:rsidR="00C900B7" w:rsidRDefault="00E35299">
            <w:pPr>
              <w:pStyle w:val="ConsPlusNormal0"/>
              <w:jc w:val="center"/>
            </w:pPr>
            <w:r>
              <w:t>до 3,2 включительно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C900B7">
            <w:pPr>
              <w:pStyle w:val="ConsPlusNormal0"/>
            </w:pP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1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не нормируется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  <w:p w:rsidR="00C900B7" w:rsidRDefault="00E35299">
            <w:pPr>
              <w:pStyle w:val="ConsPlusNormal0"/>
              <w:jc w:val="center"/>
            </w:pPr>
            <w:r>
              <w:t>до 3,2 включительно</w:t>
            </w:r>
          </w:p>
        </w:tc>
      </w:tr>
    </w:tbl>
    <w:p w:rsidR="00C900B7" w:rsidRDefault="00C900B7">
      <w:pPr>
        <w:pStyle w:val="ConsPlusNormal0"/>
        <w:jc w:val="both"/>
      </w:pPr>
    </w:p>
    <w:p w:rsidR="00C900B7" w:rsidRDefault="00E35299">
      <w:pPr>
        <w:pStyle w:val="ConsPlusNormal0"/>
        <w:jc w:val="right"/>
        <w:outlineLvl w:val="2"/>
      </w:pPr>
      <w:r>
        <w:t>Таблица 6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Title0"/>
        <w:jc w:val="center"/>
      </w:pPr>
      <w:bookmarkStart w:id="17" w:name="P796"/>
      <w:bookmarkEnd w:id="17"/>
      <w:r>
        <w:t>Категории трубопроводов и арматуры, предназначенных</w:t>
      </w:r>
    </w:p>
    <w:p w:rsidR="00C900B7" w:rsidRDefault="00E35299">
      <w:pPr>
        <w:pStyle w:val="ConsPlusTitle0"/>
        <w:jc w:val="center"/>
      </w:pPr>
      <w:r>
        <w:t>для сжатых, сжиженных, растворенных под давлением газов</w:t>
      </w:r>
    </w:p>
    <w:p w:rsidR="00C900B7" w:rsidRDefault="00E35299">
      <w:pPr>
        <w:pStyle w:val="ConsPlusTitle0"/>
        <w:jc w:val="center"/>
      </w:pPr>
      <w:r>
        <w:t>и паров и используемых для рабочих сред группы 1</w:t>
      </w:r>
    </w:p>
    <w:p w:rsidR="00C900B7" w:rsidRDefault="00C900B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5"/>
        <w:gridCol w:w="2578"/>
        <w:gridCol w:w="2578"/>
        <w:gridCol w:w="2578"/>
      </w:tblGrid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Категория оборудования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Номинальный диаметр (мм)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Произведение значения расчетного давления и значения номинального диаметра (МПа·мм)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Расчетное давление (МПа)</w:t>
            </w:r>
          </w:p>
        </w:tc>
      </w:tr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4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1-я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25</w:t>
            </w:r>
          </w:p>
          <w:p w:rsidR="00C900B7" w:rsidRDefault="00E35299">
            <w:pPr>
              <w:pStyle w:val="ConsPlusNormal0"/>
              <w:jc w:val="center"/>
            </w:pPr>
            <w:r>
              <w:t>до 100 включительно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до 100 включительно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2-я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25</w:t>
            </w:r>
          </w:p>
          <w:p w:rsidR="00C900B7" w:rsidRDefault="00E35299">
            <w:pPr>
              <w:pStyle w:val="ConsPlusNormal0"/>
              <w:jc w:val="center"/>
            </w:pPr>
            <w:r>
              <w:t>до 100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100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1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C900B7">
            <w:pPr>
              <w:pStyle w:val="ConsPlusNormal0"/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100</w:t>
            </w:r>
          </w:p>
          <w:p w:rsidR="00C900B7" w:rsidRDefault="00E35299">
            <w:pPr>
              <w:pStyle w:val="ConsPlusNormal0"/>
              <w:jc w:val="center"/>
            </w:pPr>
            <w:r>
              <w:t>до 350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до 350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3-я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100</w:t>
            </w:r>
          </w:p>
          <w:p w:rsidR="00C900B7" w:rsidRDefault="00E35299">
            <w:pPr>
              <w:pStyle w:val="ConsPlusNormal0"/>
              <w:jc w:val="center"/>
            </w:pPr>
            <w:r>
              <w:t>до 350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350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1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C900B7">
            <w:pPr>
              <w:pStyle w:val="ConsPlusNormal0"/>
            </w:pP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свыше 350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не нормируется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</w:tc>
      </w:tr>
    </w:tbl>
    <w:p w:rsidR="00C900B7" w:rsidRDefault="00C900B7">
      <w:pPr>
        <w:pStyle w:val="ConsPlusNormal0"/>
        <w:jc w:val="both"/>
      </w:pPr>
    </w:p>
    <w:p w:rsidR="00C900B7" w:rsidRDefault="00E35299">
      <w:pPr>
        <w:pStyle w:val="ConsPlusNormal0"/>
        <w:jc w:val="right"/>
        <w:outlineLvl w:val="2"/>
      </w:pPr>
      <w:r>
        <w:t>Таблица 7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Title0"/>
        <w:jc w:val="center"/>
      </w:pPr>
      <w:bookmarkStart w:id="18" w:name="P835"/>
      <w:bookmarkEnd w:id="18"/>
      <w:r>
        <w:t>Категории трубопроводов и арматуры, предназначенных</w:t>
      </w:r>
    </w:p>
    <w:p w:rsidR="00C900B7" w:rsidRDefault="00E35299">
      <w:pPr>
        <w:pStyle w:val="ConsPlusTitle0"/>
        <w:jc w:val="center"/>
      </w:pPr>
      <w:r>
        <w:t>для сжатых, сжиженных, растворенных под давлением газов</w:t>
      </w:r>
    </w:p>
    <w:p w:rsidR="00C900B7" w:rsidRDefault="00E35299">
      <w:pPr>
        <w:pStyle w:val="ConsPlusTitle0"/>
        <w:jc w:val="center"/>
      </w:pPr>
      <w:r>
        <w:t>и паров и используемых для рабочих сред группы 2</w:t>
      </w:r>
    </w:p>
    <w:p w:rsidR="00C900B7" w:rsidRDefault="00C900B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5"/>
        <w:gridCol w:w="2578"/>
        <w:gridCol w:w="2578"/>
        <w:gridCol w:w="2578"/>
      </w:tblGrid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Категория оборудования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Номинальный диаметр (мм)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Произведение значения расчетного давления и значения номинального диаметра (МПа·мм)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Расчетное давление (МПа)</w:t>
            </w:r>
          </w:p>
        </w:tc>
      </w:tr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4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1-я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32</w:t>
            </w:r>
          </w:p>
          <w:p w:rsidR="00C900B7" w:rsidRDefault="00E35299">
            <w:pPr>
              <w:pStyle w:val="ConsPlusNormal0"/>
              <w:jc w:val="center"/>
            </w:pPr>
            <w:r>
              <w:t>до 100 включительно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100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C900B7">
            <w:pPr>
              <w:pStyle w:val="ConsPlusNormal0"/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100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100</w:t>
            </w:r>
          </w:p>
          <w:p w:rsidR="00C900B7" w:rsidRDefault="00E35299">
            <w:pPr>
              <w:pStyle w:val="ConsPlusNormal0"/>
              <w:jc w:val="center"/>
            </w:pPr>
            <w:r>
              <w:t>до 350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2-я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100</w:t>
            </w:r>
          </w:p>
          <w:p w:rsidR="00C900B7" w:rsidRDefault="00E35299">
            <w:pPr>
              <w:pStyle w:val="ConsPlusNormal0"/>
              <w:jc w:val="center"/>
            </w:pPr>
            <w:r>
              <w:t>до 250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350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C900B7">
            <w:pPr>
              <w:pStyle w:val="ConsPlusNormal0"/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250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350</w:t>
            </w:r>
          </w:p>
          <w:p w:rsidR="00C900B7" w:rsidRDefault="00E35299">
            <w:pPr>
              <w:pStyle w:val="ConsPlusNormal0"/>
              <w:jc w:val="center"/>
            </w:pPr>
            <w:r>
              <w:t>до 500 включительно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3-я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свыше 250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свыше 500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</w:tc>
      </w:tr>
    </w:tbl>
    <w:p w:rsidR="00C900B7" w:rsidRDefault="00C900B7">
      <w:pPr>
        <w:pStyle w:val="ConsPlusNormal0"/>
        <w:jc w:val="both"/>
      </w:pPr>
    </w:p>
    <w:p w:rsidR="00C900B7" w:rsidRDefault="00E35299">
      <w:pPr>
        <w:pStyle w:val="ConsPlusNormal0"/>
        <w:jc w:val="right"/>
        <w:outlineLvl w:val="2"/>
      </w:pPr>
      <w:r>
        <w:t>Таблица 8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Title0"/>
        <w:jc w:val="center"/>
      </w:pPr>
      <w:bookmarkStart w:id="19" w:name="P874"/>
      <w:bookmarkEnd w:id="19"/>
      <w:r>
        <w:t>Категории трубопроводов и арматуры, предназначенных</w:t>
      </w:r>
    </w:p>
    <w:p w:rsidR="00C900B7" w:rsidRDefault="00E35299">
      <w:pPr>
        <w:pStyle w:val="ConsPlusTitle0"/>
        <w:jc w:val="center"/>
      </w:pPr>
      <w:r>
        <w:t>для жидкостей и используемых для рабочих сред группы 1</w:t>
      </w:r>
    </w:p>
    <w:p w:rsidR="00C900B7" w:rsidRDefault="00C900B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5"/>
        <w:gridCol w:w="2578"/>
        <w:gridCol w:w="2578"/>
        <w:gridCol w:w="2578"/>
      </w:tblGrid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Категория оборудования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Номинальный диаметр (мм)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Произведение значения расчетного давления и значения номинального диаметра (МПа·мм)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Расчетное давлен</w:t>
            </w:r>
            <w:r>
              <w:t>ие (МПа)</w:t>
            </w:r>
          </w:p>
        </w:tc>
      </w:tr>
      <w:tr w:rsidR="00C900B7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4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1-я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25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200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0,05</w:t>
            </w:r>
          </w:p>
          <w:p w:rsidR="00C900B7" w:rsidRDefault="00E35299">
            <w:pPr>
              <w:pStyle w:val="ConsPlusNormal0"/>
              <w:jc w:val="center"/>
            </w:pPr>
            <w:r>
              <w:t>до 1 включительно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2-я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25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200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свыше 1</w:t>
            </w:r>
          </w:p>
          <w:p w:rsidR="00C900B7" w:rsidRDefault="00E35299">
            <w:pPr>
              <w:pStyle w:val="ConsPlusNormal0"/>
              <w:jc w:val="center"/>
            </w:pPr>
            <w:r>
              <w:t>до 50 включительно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3-я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свыше 25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не нормируется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свыше 50</w:t>
            </w:r>
          </w:p>
        </w:tc>
      </w:tr>
    </w:tbl>
    <w:p w:rsidR="00C900B7" w:rsidRDefault="00C900B7">
      <w:pPr>
        <w:pStyle w:val="ConsPlusNormal0"/>
        <w:jc w:val="both"/>
      </w:pPr>
    </w:p>
    <w:p w:rsidR="00C900B7" w:rsidRDefault="00E35299">
      <w:pPr>
        <w:pStyle w:val="ConsPlusNormal0"/>
        <w:jc w:val="right"/>
        <w:outlineLvl w:val="2"/>
      </w:pPr>
      <w:r>
        <w:t>Таблица 9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Title0"/>
        <w:jc w:val="center"/>
      </w:pPr>
      <w:bookmarkStart w:id="20" w:name="P902"/>
      <w:bookmarkEnd w:id="20"/>
      <w:r>
        <w:t>Категории трубопроводов и арматуры, предназначенных</w:t>
      </w:r>
    </w:p>
    <w:p w:rsidR="00C900B7" w:rsidRDefault="00E35299">
      <w:pPr>
        <w:pStyle w:val="ConsPlusTitle0"/>
        <w:jc w:val="center"/>
      </w:pPr>
      <w:r>
        <w:t>для жидкостей и используемых для рабочих сред группы 2</w:t>
      </w:r>
    </w:p>
    <w:p w:rsidR="00C900B7" w:rsidRDefault="00C900B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5"/>
        <w:gridCol w:w="2578"/>
        <w:gridCol w:w="2578"/>
        <w:gridCol w:w="2578"/>
      </w:tblGrid>
      <w:tr w:rsidR="00C900B7">
        <w:tc>
          <w:tcPr>
            <w:tcW w:w="1335" w:type="dxa"/>
          </w:tcPr>
          <w:p w:rsidR="00C900B7" w:rsidRDefault="00E35299">
            <w:pPr>
              <w:pStyle w:val="ConsPlusNormal0"/>
              <w:jc w:val="center"/>
            </w:pPr>
            <w:r>
              <w:t>Категория оборудования</w:t>
            </w:r>
          </w:p>
        </w:tc>
        <w:tc>
          <w:tcPr>
            <w:tcW w:w="2578" w:type="dxa"/>
          </w:tcPr>
          <w:p w:rsidR="00C900B7" w:rsidRDefault="00E35299">
            <w:pPr>
              <w:pStyle w:val="ConsPlusNormal0"/>
              <w:jc w:val="center"/>
            </w:pPr>
            <w:r>
              <w:t>Номинальный диаметр (мм)</w:t>
            </w:r>
          </w:p>
        </w:tc>
        <w:tc>
          <w:tcPr>
            <w:tcW w:w="2578" w:type="dxa"/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Произведение значения расчетного давления и значения номинального диаметра (МПа·мм)</w:t>
            </w:r>
          </w:p>
        </w:tc>
        <w:tc>
          <w:tcPr>
            <w:tcW w:w="2578" w:type="dxa"/>
          </w:tcPr>
          <w:p w:rsidR="00C900B7" w:rsidRDefault="00E35299">
            <w:pPr>
              <w:pStyle w:val="ConsPlusNormal0"/>
              <w:jc w:val="center"/>
            </w:pPr>
            <w:r>
              <w:t>Расчетное давлен</w:t>
            </w:r>
            <w:r>
              <w:t>ие (МПа)</w:t>
            </w:r>
          </w:p>
        </w:tc>
      </w:tr>
      <w:tr w:rsidR="00C900B7">
        <w:tc>
          <w:tcPr>
            <w:tcW w:w="1335" w:type="dxa"/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578" w:type="dxa"/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578" w:type="dxa"/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578" w:type="dxa"/>
            <w:vAlign w:val="center"/>
          </w:tcPr>
          <w:p w:rsidR="00C900B7" w:rsidRDefault="00E35299">
            <w:pPr>
              <w:pStyle w:val="ConsPlusNormal0"/>
              <w:jc w:val="center"/>
            </w:pPr>
            <w:r>
              <w:t>4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1335" w:type="dxa"/>
            <w:tcBorders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1-я</w:t>
            </w:r>
          </w:p>
        </w:tc>
        <w:tc>
          <w:tcPr>
            <w:tcW w:w="2578" w:type="dxa"/>
            <w:tcBorders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200</w:t>
            </w:r>
          </w:p>
        </w:tc>
        <w:tc>
          <w:tcPr>
            <w:tcW w:w="2578" w:type="dxa"/>
            <w:tcBorders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500</w:t>
            </w:r>
          </w:p>
        </w:tc>
        <w:tc>
          <w:tcPr>
            <w:tcW w:w="2578" w:type="dxa"/>
            <w:tcBorders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свыше 1</w:t>
            </w:r>
          </w:p>
          <w:p w:rsidR="00C900B7" w:rsidRDefault="00E35299">
            <w:pPr>
              <w:pStyle w:val="ConsPlusNormal0"/>
              <w:jc w:val="center"/>
            </w:pPr>
            <w:r>
              <w:t>до 50 включительно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1335" w:type="dxa"/>
            <w:tcBorders>
              <w:top w:val="nil"/>
              <w:left w:val="nil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2-я</w:t>
            </w:r>
          </w:p>
        </w:tc>
        <w:tc>
          <w:tcPr>
            <w:tcW w:w="2578" w:type="dxa"/>
            <w:tcBorders>
              <w:top w:val="nil"/>
              <w:left w:val="nil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свыше 200</w:t>
            </w:r>
          </w:p>
        </w:tc>
        <w:tc>
          <w:tcPr>
            <w:tcW w:w="2578" w:type="dxa"/>
            <w:tcBorders>
              <w:top w:val="nil"/>
              <w:left w:val="nil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не нормируется</w:t>
            </w:r>
          </w:p>
        </w:tc>
        <w:tc>
          <w:tcPr>
            <w:tcW w:w="2578" w:type="dxa"/>
            <w:tcBorders>
              <w:top w:val="nil"/>
              <w:left w:val="nil"/>
              <w:right w:val="nil"/>
            </w:tcBorders>
            <w:vAlign w:val="bottom"/>
          </w:tcPr>
          <w:p w:rsidR="00C900B7" w:rsidRDefault="00E35299">
            <w:pPr>
              <w:pStyle w:val="ConsPlusNormal0"/>
              <w:jc w:val="center"/>
            </w:pPr>
            <w:r>
              <w:t>свыше 50</w:t>
            </w:r>
          </w:p>
        </w:tc>
      </w:tr>
    </w:tbl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jc w:val="right"/>
        <w:outlineLvl w:val="1"/>
      </w:pPr>
      <w:r>
        <w:t>Приложение N 2</w:t>
      </w:r>
    </w:p>
    <w:p w:rsidR="00C900B7" w:rsidRDefault="00E35299">
      <w:pPr>
        <w:pStyle w:val="ConsPlusNormal0"/>
        <w:jc w:val="right"/>
      </w:pPr>
      <w:r>
        <w:t>к техническому регламенту Таможенного</w:t>
      </w:r>
    </w:p>
    <w:p w:rsidR="00C900B7" w:rsidRDefault="00E35299">
      <w:pPr>
        <w:pStyle w:val="ConsPlusNormal0"/>
        <w:jc w:val="right"/>
      </w:pPr>
      <w:r>
        <w:t>союза "О безопасности оборудования,</w:t>
      </w:r>
    </w:p>
    <w:p w:rsidR="00C900B7" w:rsidRDefault="00E35299">
      <w:pPr>
        <w:pStyle w:val="ConsPlusNormal0"/>
        <w:jc w:val="right"/>
      </w:pPr>
      <w:r>
        <w:t>работающего под избыточным давлением"</w:t>
      </w:r>
    </w:p>
    <w:p w:rsidR="00C900B7" w:rsidRDefault="00E35299">
      <w:pPr>
        <w:pStyle w:val="ConsPlusNormal0"/>
        <w:jc w:val="right"/>
      </w:pPr>
      <w:r>
        <w:t>(ТР ТС 032/2013)</w:t>
      </w:r>
    </w:p>
    <w:p w:rsidR="00C900B7" w:rsidRDefault="00C900B7">
      <w:pPr>
        <w:pStyle w:val="ConsPlusNormal0"/>
        <w:jc w:val="center"/>
      </w:pPr>
    </w:p>
    <w:p w:rsidR="00C900B7" w:rsidRDefault="00E35299">
      <w:pPr>
        <w:pStyle w:val="ConsPlusTitle0"/>
        <w:jc w:val="center"/>
      </w:pPr>
      <w:bookmarkStart w:id="21" w:name="P933"/>
      <w:bookmarkEnd w:id="21"/>
      <w:r>
        <w:t>ТРЕБОВАНИЯ</w:t>
      </w:r>
    </w:p>
    <w:p w:rsidR="00C900B7" w:rsidRDefault="00E35299">
      <w:pPr>
        <w:pStyle w:val="ConsPlusTitle0"/>
        <w:jc w:val="center"/>
      </w:pPr>
      <w:r>
        <w:t>К БЕЗОПАСНОСТИ ОБОРУДОВАНИЯ ПРИ РАЗРАБОТКЕ</w:t>
      </w:r>
    </w:p>
    <w:p w:rsidR="00C900B7" w:rsidRDefault="00E35299">
      <w:pPr>
        <w:pStyle w:val="ConsPlusTitle0"/>
        <w:jc w:val="center"/>
      </w:pPr>
      <w:r>
        <w:t>(ПРОЕКТИРОВАНИИ), ИЗГОТОВЛЕНИИ (ПРОИЗВОДСТВЕ)</w:t>
      </w:r>
    </w:p>
    <w:p w:rsidR="00C900B7" w:rsidRDefault="00C900B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900B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Совета Евразийской экономической комиссии</w:t>
            </w:r>
          </w:p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>от 23.04.2021 N 49)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</w:tr>
    </w:tbl>
    <w:p w:rsidR="00C900B7" w:rsidRDefault="00C900B7">
      <w:pPr>
        <w:pStyle w:val="ConsPlusNormal0"/>
        <w:jc w:val="center"/>
      </w:pPr>
    </w:p>
    <w:p w:rsidR="00C900B7" w:rsidRDefault="00E35299">
      <w:pPr>
        <w:pStyle w:val="ConsPlusNormal0"/>
        <w:ind w:firstLine="540"/>
        <w:jc w:val="both"/>
      </w:pPr>
      <w:r>
        <w:t>1. При разработке (проектировании) оборудования рассчитывается его прочность с учетом прогнозируемых нагрузок, которые могут возникнуть в процессе его эксплуатации, транспортировки, перевозки, монтажа и прогнозируемых отклонений от таких нагрузок. При этом</w:t>
      </w:r>
      <w:r>
        <w:t xml:space="preserve"> учитываются следующие факторы: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нагрузки, действующие на внутреннюю и наружную поверхности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температура окружающей среды и температура рабочей среды;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в) статическое давление в рабочих условиях и статическое давление в условиях испытания </w:t>
      </w:r>
      <w:r>
        <w:t>с учетом гидростатического давления жидкости в оборудовании и (или) давления сыпучего материала, а также кратковременное повышение давления во время действия предохранительных устройств;</w:t>
      </w:r>
    </w:p>
    <w:p w:rsidR="00C900B7" w:rsidRDefault="00E35299">
      <w:pPr>
        <w:pStyle w:val="ConsPlusNormal0"/>
        <w:jc w:val="both"/>
      </w:pPr>
      <w:r>
        <w:t xml:space="preserve">(пп. "в" в ред. </w:t>
      </w:r>
      <w:hyperlink r:id="rId12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инерционные нагрузки при движении, ветровые и сейсмические воздействия;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реактивные усилия (противодействия), которые передаются</w:t>
      </w:r>
      <w:r>
        <w:t xml:space="preserve"> от опор, креплений, трубопроводов;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усталость при переменных нагрузках;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ж) эрозионные и коррозионные воздействия среды, в том числе эрозионно-коррозионный износ;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з) химические реакции из-за нестабильности перерабатываемых сред и технологического процесса;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и) изменения механических свойств материалов в процессе эксплуатации.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2. Оборудование должно исключать возможность причинения вреда в случаях: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закрывания и отк</w:t>
      </w:r>
      <w:r>
        <w:t>рывания люков либо устройств контроля состояния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выполнения технологических операций, связанных с постановкой оборудования под давление, вводом оборудования в рабочий режим, а также со сбросом давления;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выполнения технологических операци</w:t>
      </w:r>
      <w:r>
        <w:t>й, связанных с риском падения персонала с рабочей площадки для обслуживания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г) исключен. - </w:t>
      </w:r>
      <w:hyperlink r:id="rId129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</w:t>
        </w:r>
      </w:hyperlink>
      <w:r>
        <w:t xml:space="preserve"> Совета Евразийской экономической коми</w:t>
      </w:r>
      <w:r>
        <w:t>ссии от 23.04.2021 N 49;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возникновения недопустимой температуры внешних поверхностей;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разложения нестабильных рабочих сред.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3. Оборудование проектируется с учетом обеспечения возможности проведения проверок, необходимых для подтверждения его соответс</w:t>
      </w:r>
      <w:r>
        <w:t>твия требованиям безопасности.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4. Проектом оборудования определяются его границы (пределы).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5. Проект в зависимости от назначения оборудования должен предусматривать его оснащение: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предохранительными устройствами;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средствами измерения уровня жидкой р</w:t>
      </w:r>
      <w:r>
        <w:t>абочей среды;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средствами измерения давления;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средствами измерения температуры рабочей среды;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запорной и регулирующей арматурой;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питательными устройствами;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ж) устройствами для контроля тепловых перемещений.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6. Конструкция оборудования должна обеспечивать безопасный доступ персонала к приборам безопасности и приборам контроля параметров рабочей среды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7. Проект оборудования должен предусматривать </w:t>
      </w:r>
      <w:r>
        <w:t>применение: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средств контроля и измерений, погрешность которых в рабочих условиях не превышает предельно допустимое отклонение контрольного параметра;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средств измерений в соответствии с условиями эксплуатации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8. Проектом должно быть пред</w:t>
      </w:r>
      <w:r>
        <w:t>усмотрено оснащение оборудования устройствами дренирования среды и удаления воздуха, позволяющими: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избежать гидравлического удара, вакуумного разрушения, коррозии или возникновения неконтролируемых химических реакций (при этом должны учитываться процесс</w:t>
      </w:r>
      <w:r>
        <w:t>ы эксплуатации и испытаний);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обеспечить безопасные очистку, контроль и техническое обслуживание.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9. Проект оборудования должен предусматривать обеспечение безопасности процессов заполнения или слива оборудования в случае: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переполнения или превышения давления, а также при необходимости работы оборудования под давлением, возникающим периодически при заполнении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неконтролируемого слива рабочей среды при сливе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опасности, связанной с присоедин</w:t>
      </w:r>
      <w:r>
        <w:t>ением к источнику давления и отсоединением от него при заполнении или сливе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10. В целях предупреждения коррозии, эрозионно-коррозионного износа или другого химического воздействия рабочей среды в процессе эксплуатации и защиты от них оборудов</w:t>
      </w:r>
      <w:r>
        <w:t>ания обеспечивается: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минимизация этих воздействий за счет конструктивного исполнения;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возможность замены элементов оборудования, которые могут подвергаться этому воздействию.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11. В случае необходимости оборудование оснащается устройствами, обеспечива</w:t>
      </w:r>
      <w:r>
        <w:t>ющими минимизацию последствий при внешнем возгорании.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Необходимо предусмотреть дополнительное освещение для безопасной эксплуатации оборудования. Внутренние части и области оборудования, требующие частого осмотра, настройки и технического обслуживания, дол</w:t>
      </w:r>
      <w:r>
        <w:t>жны иметь освещение, обеспечивающее безопасность.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12. В оборудовании, для которого существует опасность перегрева, исключаются или сводятся к минимуму факторы, возникающие в результате перегрева оборудования и снижающие его безопасность. В этих целях преду</w:t>
      </w:r>
      <w:r>
        <w:t>сматриваются: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устройства для ограничения подачи или отвода тепла, ограничения уровня рабочей среды в целях исключения местного или общего перегрева металла;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места отбора проб рабочей среды в целях оценки ее воздействия на образование отложений примес</w:t>
      </w:r>
      <w:r>
        <w:t>ей и (или) коррозионных повреждений;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меры по предотвращению повреждений, связанных с отложениями примесей;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устройства для безопасного удаления остаточного или излишнего тепла после отключения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меры по исключению образования взрывопожа</w:t>
      </w:r>
      <w:r>
        <w:t>роопасных смесей, а также распространения пламени (огнепреградители, пламяотсекатели, гидравлические затворы).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13. Оценка прочности оборудования основывается на методах расчета или на результатах экспериментальных испытаний без расчета, применяемых в случа</w:t>
      </w:r>
      <w:r>
        <w:t>ях, если произведение значения максимально допустимого рабочего давления и значения вместимости оборудования составляет менее 0,6 МПа·м</w:t>
      </w:r>
      <w:r>
        <w:rPr>
          <w:vertAlign w:val="superscript"/>
        </w:rPr>
        <w:t>3</w:t>
      </w:r>
      <w:r>
        <w:t xml:space="preserve"> или если произведение значения максимально допустимого рабочего давления и значения номинального диаметра составляет ме</w:t>
      </w:r>
      <w:r>
        <w:t>нее 300 МПа·мм.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14. Для расчета на прочность оборудования применяются следующие методы расчета, которые могут дополнять друг друга: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при помощи формул, приведенных в нормах расчета на прочность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б) на основании математического моделирования </w:t>
      </w:r>
      <w:r>
        <w:t>предельных состояний и прямого определения предельной нагрузки;</w:t>
      </w:r>
    </w:p>
    <w:p w:rsidR="00C900B7" w:rsidRDefault="00E35299">
      <w:pPr>
        <w:pStyle w:val="ConsPlusNormal0"/>
        <w:jc w:val="both"/>
      </w:pPr>
      <w:r>
        <w:t xml:space="preserve">(пп. "б" в ред. </w:t>
      </w:r>
      <w:hyperlink r:id="rId13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на основании численного анализа напряженно-деформированного состояния;</w:t>
      </w:r>
    </w:p>
    <w:p w:rsidR="00C900B7" w:rsidRDefault="00E35299">
      <w:pPr>
        <w:pStyle w:val="ConsPlusNormal0"/>
        <w:jc w:val="both"/>
      </w:pPr>
      <w:r>
        <w:t xml:space="preserve">(пп. "в" в ред. </w:t>
      </w:r>
      <w:hyperlink r:id="rId131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</w:t>
      </w:r>
      <w:r>
        <w:t>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на основании механики разрушения.</w:t>
      </w:r>
    </w:p>
    <w:p w:rsidR="00C900B7" w:rsidRDefault="00E35299">
      <w:pPr>
        <w:pStyle w:val="ConsPlusNormal0"/>
        <w:jc w:val="both"/>
      </w:pPr>
      <w:r>
        <w:t xml:space="preserve">(пп. "г" введен </w:t>
      </w:r>
      <w:hyperlink r:id="rId132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15. При разработ</w:t>
      </w:r>
      <w:r>
        <w:t>ке (проектировании) учитываются все возможные нагрузки и факторы и вероятность их одновременного возникновения, все возможные механизмы разрушения (вязкое или хрупкое, ползучесть материалов, усталость материалов, коррозионное растрескивание) в соответствии</w:t>
      </w:r>
      <w:r>
        <w:t xml:space="preserve"> с назначением оборудования и процессами его эксплуатации.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33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16. Для обеспечения прочности оборудования необходимы следующие условия: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величина расчетного давления должна быть не менее рабочего давления, для которого предназначено оборудование. Величина расчетного давления учитывает статический напор и динамически</w:t>
      </w:r>
      <w:r>
        <w:t>е нагрузки рабочей среды, повышение давления из-за нестабильности рабочих сред и технологических процессов. Для оборудования, состоящего из нескольких камер, работающих с разными величинами давления, за расчетное давление принимается либо каждое давление в</w:t>
      </w:r>
      <w:r>
        <w:t xml:space="preserve"> отдельности, либо давление, которое требует большей толщины стенки рассчитываемого элемента оборудования;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3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б) расчетные температуры предусматривают безопасные пределы применения материалов </w:t>
      </w:r>
      <w:r>
        <w:t>и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материалы для изготовления оборудования выбираются с учетом диапазона расчетных температур;</w:t>
      </w:r>
    </w:p>
    <w:p w:rsidR="00C900B7" w:rsidRDefault="00E35299">
      <w:pPr>
        <w:pStyle w:val="ConsPlusNormal0"/>
        <w:jc w:val="both"/>
      </w:pPr>
      <w:r>
        <w:t xml:space="preserve">(пп. "в" в ред. </w:t>
      </w:r>
      <w:hyperlink r:id="rId135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</w:t>
      </w:r>
      <w:r>
        <w:t>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учитываются все возможные сочетания давления, температуры и других нагрузок, возникающие в процессе эксплуатации, транспортировки, перевозки и испытаний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17. При расчете на прочность учитывают </w:t>
      </w:r>
      <w:r>
        <w:t>следующие характеристики материалов: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предел текучести, условные пределы текучести при 0,2 процента и 1 проценте остаточной деформации при нормальной и расчетной температурах;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временное сопротивление (предел прочности) на растяжение при нормальной и р</w:t>
      </w:r>
      <w:r>
        <w:t>асчетной температурах;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предел длительной прочности или предел ползучести при расчетной температуре и заданном количестве часов;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характеристика малоцикловой прочности или усталости при заданном числе циклов и уровне напряжений;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модуль продольной уп</w:t>
      </w:r>
      <w:r>
        <w:t>ругости (модуль Юнга) при нормальной и расчетной температурах;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относительное удлинение и относительное сужение поперечного сечения при разрыве стандартных образцов;</w:t>
      </w:r>
    </w:p>
    <w:p w:rsidR="00C900B7" w:rsidRDefault="00E35299">
      <w:pPr>
        <w:pStyle w:val="ConsPlusNormal0"/>
        <w:jc w:val="both"/>
      </w:pPr>
      <w:r>
        <w:t xml:space="preserve">(пп. "е" в ред. </w:t>
      </w:r>
      <w:hyperlink r:id="rId136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ж) ударная вязкость;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з) вязкость разрушения (коэффициент интенсивности напряжений).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18. Расчеты на прочность производятся с учетом коэффициентов прочнос</w:t>
      </w:r>
      <w:r>
        <w:t>ти сварных соединений, значения которых зависят от свариваемых материалов, технологии сварки (пайки), формы соединения, метода и объема неразрушающего контроля и процессов эксплуатации оборудования. Элементы оборудования, работающие под внешним давлением и</w:t>
      </w:r>
      <w:r>
        <w:t>ли испытывающие сжимающие напряжения от других нагрузок, должны быть проверены на устойчивость формы.</w:t>
      </w:r>
    </w:p>
    <w:p w:rsidR="00C900B7" w:rsidRDefault="00E35299">
      <w:pPr>
        <w:pStyle w:val="ConsPlusNormal0"/>
        <w:spacing w:before="240"/>
        <w:ind w:firstLine="540"/>
        <w:jc w:val="both"/>
      </w:pPr>
      <w:bookmarkStart w:id="22" w:name="P1019"/>
      <w:bookmarkEnd w:id="22"/>
      <w:r>
        <w:t>19. При расчете оборудования на прочность учитываются прогнозируемые отклонения рабочих параметров в процессе его эксплуатации, допускаемые неточности изг</w:t>
      </w:r>
      <w:r>
        <w:t>отовления (производства), возможные отклонения механических характеристик применяемых материалов.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20. Утратил силу. - </w:t>
      </w:r>
      <w:hyperlink r:id="rId13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</w:t>
        </w:r>
      </w:hyperlink>
      <w:r>
        <w:t xml:space="preserve"> Совета Евразийской эконо</w:t>
      </w:r>
      <w:r>
        <w:t>мической комиссии от 23.04.2021 N 49.</w:t>
      </w:r>
    </w:p>
    <w:p w:rsidR="00C900B7" w:rsidRDefault="00E35299">
      <w:pPr>
        <w:pStyle w:val="ConsPlusNormal0"/>
        <w:spacing w:before="240"/>
        <w:ind w:firstLine="540"/>
        <w:jc w:val="both"/>
      </w:pPr>
      <w:bookmarkStart w:id="23" w:name="P1021"/>
      <w:bookmarkEnd w:id="23"/>
      <w:r>
        <w:t>21. Допускаемое напряжение при расчете на прочность по предельным нагрузкам оборудования, работающего под статическими нагрузками, определяется по следующим формулам: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для углеродистых и низколегированных, ферритных,</w:t>
      </w:r>
      <w:r>
        <w:t xml:space="preserve"> аустенитно-ферритных мартенситных сталей и сплавов на железоникелевой основе: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3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</w:t>
      </w:r>
      <w:r>
        <w:t xml:space="preserve"> N 49)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jc w:val="center"/>
      </w:pPr>
      <w:r>
        <w:rPr>
          <w:noProof/>
          <w:position w:val="-34"/>
        </w:rPr>
        <w:drawing>
          <wp:inline distT="0" distB="0" distL="0" distR="0">
            <wp:extent cx="3825240" cy="58483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240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ind w:firstLine="540"/>
        <w:jc w:val="both"/>
      </w:pPr>
      <w:r>
        <w:t>где: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320040" cy="27432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допускаемое напряжение при расчете на прочность по предельным нагрузкам оборудования, работающего под статическими нагрузками;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320040" cy="27432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минимальное значение предела текучести при расчетной температуре стенки;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42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rPr>
          <w:noProof/>
          <w:position w:val="-11"/>
        </w:rPr>
        <w:drawing>
          <wp:inline distT="0" distB="0" distL="0" distR="0">
            <wp:extent cx="457200" cy="29845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_ минимальное значение условного предела текучести при 0,2 процента остаточной д</w:t>
      </w:r>
      <w:r>
        <w:t>еформации и расчетной температуре стенки;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4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298450" cy="27432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минимальное значение време</w:t>
      </w:r>
      <w:r>
        <w:t>нного сопротивления (предела прочности) при температуре 20 °C;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rPr>
          <w:noProof/>
          <w:position w:val="-11"/>
        </w:rPr>
        <w:drawing>
          <wp:inline distT="0" distB="0" distL="0" distR="0">
            <wp:extent cx="481965" cy="298450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среднее значение предела длительной прочности за 10</w:t>
      </w:r>
      <w:r>
        <w:rPr>
          <w:vertAlign w:val="superscript"/>
        </w:rPr>
        <w:t>n</w:t>
      </w:r>
      <w:r>
        <w:t xml:space="preserve"> часов при расчетной температуре стенки;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4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rPr>
          <w:noProof/>
          <w:position w:val="-11"/>
        </w:rPr>
        <w:drawing>
          <wp:inline distT="0" distB="0" distL="0" distR="0">
            <wp:extent cx="502920" cy="29845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среднее значение 1 процента предела ползучести за 10</w:t>
      </w:r>
      <w:r>
        <w:rPr>
          <w:vertAlign w:val="superscript"/>
        </w:rPr>
        <w:t>n</w:t>
      </w:r>
      <w:r>
        <w:t xml:space="preserve"> часов при расчетной температуре стенки (предел ползучести используется для определения допускаемого напряжения</w:t>
      </w:r>
      <w:r>
        <w:t xml:space="preserve"> в тех случаях, когда отсутствуют данные по пределу длительной прочности или когда по условиям эксплуатации необходимо ограничивать деформацию (перемещения));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49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для аустенитной хромоникелевой стали, алюминия, меди и их сплавов: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jc w:val="center"/>
      </w:pPr>
      <w:r>
        <w:rPr>
          <w:noProof/>
          <w:position w:val="-34"/>
        </w:rPr>
        <w:drawing>
          <wp:inline distT="0" distB="0" distL="0" distR="0">
            <wp:extent cx="3154680" cy="584835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C900B7" w:rsidRDefault="00C900B7">
      <w:pPr>
        <w:pStyle w:val="ConsPlusNormal0"/>
        <w:jc w:val="center"/>
      </w:pPr>
    </w:p>
    <w:p w:rsidR="00C900B7" w:rsidRDefault="00E35299">
      <w:pPr>
        <w:pStyle w:val="ConsPlusNormal0"/>
        <w:ind w:firstLine="540"/>
        <w:jc w:val="both"/>
      </w:pPr>
      <w:r>
        <w:t>где: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377190" cy="274320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минимальное значение условного предела текучести при 1 проценте остаточной деформации</w:t>
      </w:r>
      <w:r>
        <w:t xml:space="preserve"> и максимально допустимой температуре;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354330" cy="274320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минимальное значение временного сопротивления (предела прочности) при максимально допустимой температуре;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для алюминиевых литейных сплавов: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jc w:val="center"/>
      </w:pPr>
      <w:r>
        <w:rPr>
          <w:noProof/>
          <w:position w:val="-25"/>
        </w:rPr>
        <w:drawing>
          <wp:inline distT="0" distB="0" distL="0" distR="0">
            <wp:extent cx="892175" cy="481965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75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ind w:firstLine="540"/>
        <w:jc w:val="both"/>
      </w:pPr>
      <w:r>
        <w:t>г) для титана и титановых сплавов: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jc w:val="center"/>
      </w:pPr>
      <w:r>
        <w:rPr>
          <w:noProof/>
          <w:position w:val="-25"/>
        </w:rPr>
        <w:drawing>
          <wp:inline distT="0" distB="0" distL="0" distR="0">
            <wp:extent cx="892175" cy="481965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75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ind w:firstLine="540"/>
        <w:jc w:val="both"/>
      </w:pPr>
      <w:r>
        <w:t xml:space="preserve">д) для листового проката </w:t>
      </w:r>
      <w:r>
        <w:t>и прокатных труб из титана и титановых сплавов:</w:t>
      </w:r>
    </w:p>
    <w:p w:rsidR="00C900B7" w:rsidRDefault="00C900B7">
      <w:pPr>
        <w:pStyle w:val="ConsPlusNormal0"/>
        <w:jc w:val="center"/>
      </w:pPr>
    </w:p>
    <w:p w:rsidR="00C900B7" w:rsidRDefault="00E35299">
      <w:pPr>
        <w:pStyle w:val="ConsPlusNormal0"/>
        <w:jc w:val="center"/>
      </w:pPr>
      <w:r>
        <w:rPr>
          <w:noProof/>
          <w:position w:val="-27"/>
        </w:rPr>
        <w:drawing>
          <wp:inline distT="0" distB="0" distL="0" distR="0">
            <wp:extent cx="892810" cy="502920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C900B7" w:rsidRDefault="00C900B7">
      <w:pPr>
        <w:pStyle w:val="ConsPlusNormal0"/>
        <w:jc w:val="center"/>
      </w:pPr>
    </w:p>
    <w:p w:rsidR="00C900B7" w:rsidRDefault="00E35299">
      <w:pPr>
        <w:pStyle w:val="ConsPlusNormal0"/>
        <w:ind w:firstLine="540"/>
        <w:jc w:val="both"/>
      </w:pPr>
      <w:bookmarkStart w:id="24" w:name="P1057"/>
      <w:bookmarkEnd w:id="24"/>
      <w:r>
        <w:t xml:space="preserve">22. При отсутствии данных по минимальному значению условного предела текучести при 1 проценте остаточной деформации допускается при определении допускаемых напряжений для аустенитной стали в соответствии с </w:t>
      </w:r>
      <w:hyperlink w:anchor="P1021" w:tooltip="21. Допускаемое напряжение при расчете на прочность по предельным нагрузкам оборудования, работающего под статическими нагрузками, определяется по следующим формулам:">
        <w:r>
          <w:rPr>
            <w:color w:val="0000FF"/>
          </w:rPr>
          <w:t>пунктом 21</w:t>
        </w:r>
      </w:hyperlink>
      <w:r>
        <w:t xml:space="preserve"> настоящих Требований использовать минимальное значение условного предела текучести при 0,2 проц</w:t>
      </w:r>
      <w:r>
        <w:t>ента остаточной деформации и расчетной температуре стенки с коэффициентом запаса n</w:t>
      </w:r>
      <w:r>
        <w:rPr>
          <w:vertAlign w:val="subscript"/>
        </w:rPr>
        <w:t>т</w:t>
      </w:r>
      <w:r>
        <w:t xml:space="preserve"> = 1,3: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Normal0"/>
        <w:jc w:val="center"/>
      </w:pPr>
      <w:r>
        <w:rPr>
          <w:noProof/>
          <w:position w:val="-30"/>
        </w:rPr>
        <w:drawing>
          <wp:inline distT="0" distB="0" distL="0" distR="0">
            <wp:extent cx="914400" cy="537210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Normal0"/>
        <w:ind w:firstLine="540"/>
        <w:jc w:val="both"/>
      </w:pPr>
      <w:r>
        <w:t>Для обечаек, труб, днищ и других элементов из аустенитной стали (кроме фланцев), деформацию (перемещение) которых в рабочих условиях нет необходимости ограничив</w:t>
      </w:r>
      <w:r>
        <w:t xml:space="preserve">ать, при определении допускаемых напряжений в соответствии с </w:t>
      </w:r>
      <w:hyperlink w:anchor="P1021" w:tooltip="21. Допускаемое напряжение при расчете на прочность по предельным нагрузкам оборудования, работающего под статическими нагрузками, определяется по следующим формулам:">
        <w:r>
          <w:rPr>
            <w:color w:val="0000FF"/>
          </w:rPr>
          <w:t>пунктом 21</w:t>
        </w:r>
      </w:hyperlink>
      <w:r>
        <w:t xml:space="preserve"> настоящих Требований допускается в случае, если это предусмотрено стандартами, в соответствии с которыми ведутся расчет и проектирование, использовать минимальное значение условного предела текучести при 0,2 процента остаточной деформации и</w:t>
      </w:r>
      <w:r>
        <w:t xml:space="preserve"> расчетной температуре стенки с коэффициентом запаса n</w:t>
      </w:r>
      <w:r>
        <w:rPr>
          <w:vertAlign w:val="subscript"/>
        </w:rPr>
        <w:t>т</w:t>
      </w:r>
      <w:r>
        <w:t xml:space="preserve"> = 1,1, но не более, чем минимальное значение условного предела текучести при 0,2 процента остаточной деформации и температуре 20 °C с коэффициентом запаса n</w:t>
      </w:r>
      <w:r>
        <w:rPr>
          <w:vertAlign w:val="subscript"/>
        </w:rPr>
        <w:t>т</w:t>
      </w:r>
      <w:r>
        <w:t xml:space="preserve"> = 1,5: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Normal0"/>
        <w:jc w:val="center"/>
      </w:pPr>
      <w:r>
        <w:rPr>
          <w:noProof/>
          <w:position w:val="-33"/>
        </w:rPr>
        <w:drawing>
          <wp:inline distT="0" distB="0" distL="0" distR="0">
            <wp:extent cx="2103120" cy="582930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Normal0"/>
        <w:jc w:val="both"/>
      </w:pPr>
      <w:r>
        <w:t xml:space="preserve">(п. 22 в ред. </w:t>
      </w:r>
      <w:hyperlink r:id="rId15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C900B7">
      <w:pPr>
        <w:pStyle w:val="ConsPlusNormal0"/>
        <w:jc w:val="both"/>
      </w:pPr>
    </w:p>
    <w:p w:rsidR="00C900B7" w:rsidRDefault="00E35299">
      <w:pPr>
        <w:pStyle w:val="ConsPlusNormal0"/>
        <w:ind w:firstLine="540"/>
        <w:jc w:val="both"/>
      </w:pPr>
      <w:bookmarkStart w:id="25" w:name="P1067"/>
      <w:bookmarkEnd w:id="25"/>
      <w:r>
        <w:t xml:space="preserve">23. Для стальных отливок значение допускаемого напряжения, определенное по формулам, указанным </w:t>
      </w:r>
      <w:r>
        <w:t xml:space="preserve">в </w:t>
      </w:r>
      <w:hyperlink w:anchor="P1021" w:tooltip="21. Допускаемое напряжение при расчете на прочность по предельным нагрузкам оборудования, работающего под статическими нагрузками, определяется по следующим формулам:">
        <w:r>
          <w:rPr>
            <w:color w:val="0000FF"/>
          </w:rPr>
          <w:t>пунктах 21</w:t>
        </w:r>
      </w:hyperlink>
      <w:r>
        <w:t xml:space="preserve"> и </w:t>
      </w:r>
      <w:hyperlink w:anchor="P1057" w:tooltip="22. При отсутствии данных по минимальному значению условного предела текучести при 1 проценте остаточной деформации допускается при определении допускаемых напряжений для аустенитной стали в соответствии с пунктом 21 настоящих Требований использовать минимальн">
        <w:r>
          <w:rPr>
            <w:color w:val="0000FF"/>
          </w:rPr>
          <w:t>22</w:t>
        </w:r>
      </w:hyperlink>
      <w:r>
        <w:t xml:space="preserve"> </w:t>
      </w:r>
      <w:r>
        <w:t>настоящих Требований, умножается на 0,8, если отливки подвергались сплошному неразрушающему контролю, или на 0,7, если отливки не подвергались сплошному неразрушающему контролю.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24. В случае если для алюминия, меди и их сплавов отсутствуют данные по предел</w:t>
      </w:r>
      <w:r>
        <w:t>у текучести и длительной прочности, то допускаемое напряжение определяется по следующей формуле: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jc w:val="center"/>
      </w:pPr>
      <w:r>
        <w:rPr>
          <w:noProof/>
          <w:position w:val="-27"/>
        </w:rPr>
        <w:drawing>
          <wp:inline distT="0" distB="0" distL="0" distR="0">
            <wp:extent cx="892810" cy="502920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ind w:firstLine="540"/>
        <w:jc w:val="both"/>
      </w:pPr>
      <w:r>
        <w:t>25. При разработке (проектировании), изготовлении (производстве) оборудования из неметаллических материалов, для неметаллических материалов значения преде</w:t>
      </w:r>
      <w:r>
        <w:t>ла прочности и модуля упругости на разрыв соответствуют значениям, установленным в проектно-конструкторской документации, и составляют: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для композита на основе углеровинга: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предел прочности </w:t>
      </w:r>
      <w:r>
        <w:rPr>
          <w:noProof/>
          <w:position w:val="-9"/>
        </w:rPr>
        <w:drawing>
          <wp:inline distT="0" distB="0" distL="0" distR="0">
            <wp:extent cx="320040" cy="274320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не менее 160 кгс/мм</w:t>
      </w:r>
      <w:r>
        <w:rPr>
          <w:vertAlign w:val="superscript"/>
        </w:rPr>
        <w:t>2</w:t>
      </w:r>
      <w:r>
        <w:t>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модуль упругости E - не менее 11 000 </w:t>
      </w:r>
      <w:r>
        <w:t>кгс/мм</w:t>
      </w:r>
      <w:r>
        <w:rPr>
          <w:vertAlign w:val="superscript"/>
        </w:rPr>
        <w:t>2</w:t>
      </w:r>
      <w:r>
        <w:t>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для композита на основе органоровинга: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предел прочности </w:t>
      </w:r>
      <w:r>
        <w:rPr>
          <w:noProof/>
          <w:position w:val="-9"/>
        </w:rPr>
        <w:drawing>
          <wp:inline distT="0" distB="0" distL="0" distR="0">
            <wp:extent cx="320040" cy="274320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не менее 170 кгс/мм</w:t>
      </w:r>
      <w:r>
        <w:rPr>
          <w:vertAlign w:val="superscript"/>
        </w:rPr>
        <w:t>2</w:t>
      </w:r>
      <w:r>
        <w:t>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модуль упругости E - не менее 6 500 кгс/мм</w:t>
      </w:r>
      <w:r>
        <w:rPr>
          <w:vertAlign w:val="superscript"/>
        </w:rPr>
        <w:t>2</w:t>
      </w:r>
      <w:r>
        <w:t>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для композита на основе стеклоровинга: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предел прочности </w:t>
      </w:r>
      <w:r>
        <w:rPr>
          <w:noProof/>
          <w:position w:val="-9"/>
        </w:rPr>
        <w:drawing>
          <wp:inline distT="0" distB="0" distL="0" distR="0">
            <wp:extent cx="320040" cy="274320"/>
            <wp:effectExtent l="0" t="0" r="0" b="0"/>
            <wp:docPr id="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не менее 90 кгс/мм</w:t>
      </w:r>
      <w:r>
        <w:rPr>
          <w:vertAlign w:val="superscript"/>
        </w:rPr>
        <w:t>2</w:t>
      </w:r>
      <w:r>
        <w:t>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модуль упругости E - не менее 5 000 кгс/мм</w:t>
      </w:r>
      <w:r>
        <w:rPr>
          <w:vertAlign w:val="superscript"/>
        </w:rPr>
        <w:t>2</w:t>
      </w:r>
      <w:r>
        <w:t>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26. В оборудовании в качестве связующего могут быть использованы термопластичные или реактопластичные полимерные материалы.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Температура отверждения (полимеризации) связующего должна быть ниже температуры размягч</w:t>
      </w:r>
      <w:r>
        <w:t>ения материала неметаллического связующего.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Температура размягчения материала должна быть не ниже 100 °C.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27. Сварные соединения не должны иметь внешних или внутренних дефектов (повреждений), которые могут повлиять на безопасность оборудования. Минимальные</w:t>
      </w:r>
      <w:r>
        <w:t xml:space="preserve"> значения механических характеристик сварных соединений оборудования должны быть не ниже минимальных значений механических характеристик соединяемых материалов.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28. Изготовитель обеспечивает проведение контроля сварных соединений оборудования. Методы прове</w:t>
      </w:r>
      <w:r>
        <w:t xml:space="preserve">дения неразрушающего контроля и его объем определяются разработчиком проекта (конструкции) оборудования исходя из необходимости более точного и полного выявления недопустимых дефектов с учетом свойств материалов и указываются в проектной (конструкторской) </w:t>
      </w:r>
      <w:r>
        <w:t>документации оборудования.</w:t>
      </w:r>
    </w:p>
    <w:p w:rsidR="00C900B7" w:rsidRDefault="00E35299">
      <w:pPr>
        <w:pStyle w:val="ConsPlusNormal0"/>
        <w:jc w:val="both"/>
      </w:pPr>
      <w:r>
        <w:t xml:space="preserve">(п. 28 в ред. </w:t>
      </w:r>
      <w:hyperlink r:id="rId16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bookmarkStart w:id="26" w:name="P1088"/>
      <w:bookmarkEnd w:id="26"/>
      <w:r>
        <w:t>29. При расчете на прочность сварных со</w:t>
      </w:r>
      <w:r>
        <w:t xml:space="preserve">единений элементов оборудования значение допускаемого напряжения умножается на коэффициент прочности сварных швов </w:t>
      </w:r>
      <w:r>
        <w:rPr>
          <w:noProof/>
          <w:position w:val="-4"/>
        </w:rPr>
        <w:drawing>
          <wp:inline distT="0" distB="0" distL="0" distR="0">
            <wp:extent cx="170815" cy="205740"/>
            <wp:effectExtent l="0" t="0" r="0" b="0"/>
            <wp:docPr id="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2"/>
        </w:rPr>
        <w:drawing>
          <wp:inline distT="0" distB="0" distL="0" distR="0">
            <wp:extent cx="149225" cy="182880"/>
            <wp:effectExtent l="0" t="0" r="0" b="0"/>
            <wp:docPr id="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1. Значение коэффициента прочности сварных швов определяется при расчете на прочность оборудования в зависимости от материала, объема конт</w:t>
      </w:r>
      <w:r>
        <w:t>роля, технологии сварки и конструкции сварного шва.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30. Утратил силу. - </w:t>
      </w:r>
      <w:hyperlink r:id="rId163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Решение</w:t>
        </w:r>
      </w:hyperlink>
      <w:r>
        <w:t xml:space="preserve"> Совета Евразийской экономической комиссии от 23.04.2021 N 49.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31. Эксп</w:t>
      </w:r>
      <w:r>
        <w:t>ериментальные испытания на прочность оборудования проводятся на образце. В процессе испытаний обеспечивается возможность наблюдения за критическими зонами оборудования с помощью контрольно-измерительных средств, способных достоверно регистрировать деформац</w:t>
      </w:r>
      <w:r>
        <w:t>ии и напряжения.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32. Программа экспериментальных испытаний включает в себя: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испытания давлением на прочность и герметичность;</w:t>
      </w:r>
    </w:p>
    <w:p w:rsidR="00C900B7" w:rsidRDefault="00E35299">
      <w:pPr>
        <w:pStyle w:val="ConsPlusNormal0"/>
        <w:jc w:val="both"/>
      </w:pPr>
      <w:r>
        <w:t xml:space="preserve">(пп. "а" в ред. </w:t>
      </w:r>
      <w:hyperlink r:id="rId16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</w:t>
        </w:r>
        <w:r>
          <w:rPr>
            <w:color w:val="0000FF"/>
          </w:rPr>
          <w:t>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испытания на ползучесть и усталость материалов, которые проводятся с учетом процессов эксплуатации оборудования;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дополнительные испытания, которые учитывают действия других факторов и п</w:t>
      </w:r>
      <w:r>
        <w:t>роводятся при необходимости.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33. При разработке (проектировании) оборудования устанавливаются технические эксплуатационные характеристики, минимизирующие возможность возникновения инцидента аварии при его эксплуатации.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34. Оборудование изготавливается (про</w:t>
      </w:r>
      <w:r>
        <w:t>изводится) из материалов и полуфабрикатов, предусмотренных проектной документацией и обеспечивающих его соответствие требованиям безопасности на протяжении всего срока службы.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35. Оборудование изготавливается (производится) из материалов и полуфабрикатов, </w:t>
      </w:r>
      <w:r>
        <w:t>имеющих предусмотренную договором поставки маркировку (без повреждений), обеспечивающую возможность идентификации с данными документации изготовителя материалов или полуфабрикатов.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36. На листах, плитах, трубах и поковках, используемых при изготовлении (пр</w:t>
      </w:r>
      <w:r>
        <w:t>оизводстве) оборудования, должна сохраняться маркировка изготовителя. Если происходит раскрой полуфабрикатов на части, то на каждую из них должна наноситься идентичная маркировка способом, который применялся при нанесении маркировки изготовителем материало</w:t>
      </w:r>
      <w:r>
        <w:t>в.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37. При выборе материалов для изготовления оборудования (сборочных единиц, деталей) необходимо учитывать расчетное давление, температуру стенки (расчетную и минимально допустимую), химический состав и характер среды, технологические свойства и коррозион</w:t>
      </w:r>
      <w:r>
        <w:t>ную стойкость материалов.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Данные о примененных при изготовлении (производстве) оборудования материалах приводятся в технической документации.</w:t>
      </w:r>
    </w:p>
    <w:p w:rsidR="00C900B7" w:rsidRDefault="00E35299">
      <w:pPr>
        <w:pStyle w:val="ConsPlusNormal0"/>
        <w:jc w:val="both"/>
      </w:pPr>
      <w:r>
        <w:t xml:space="preserve">(п. 37 в ред. </w:t>
      </w:r>
      <w:hyperlink r:id="rId165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38. При изготовлении (производстве) оборудования используются материалы: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облада</w:t>
      </w:r>
      <w:r>
        <w:t>ющие свойствами (пластичностью, прочностью), позволяющими использовать их в процессе эксплуатации и при испытаниях оборудования. Если при выборе материала отсутствует возможность гарантированно исключить опасность хрупкого разрушения в связи с конструктивн</w:t>
      </w:r>
      <w:r>
        <w:t>ыми особенностями и условиями эксплуатации оборудования, необходимо предусмотреть для исключения такой опасности одну или несколько из следующих мер: проведение расчета конструкции на сопротивление хрупкому разрушению, повышение коэффициента запаса прочнос</w:t>
      </w:r>
      <w:r>
        <w:t>ти, ужесточение требований к контролю на стадии изготовления оборудования, обеспечение режимных мероприятий (повышение температуры на момент достижения давлением расчетного значения, ограничение скорости пуска);</w:t>
      </w:r>
    </w:p>
    <w:p w:rsidR="00C900B7" w:rsidRDefault="00E35299">
      <w:pPr>
        <w:pStyle w:val="ConsPlusNormal0"/>
        <w:jc w:val="both"/>
      </w:pPr>
      <w:r>
        <w:t xml:space="preserve">(пп. "а" в ред. </w:t>
      </w:r>
      <w:hyperlink r:id="rId166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обладающие химической стойкостью к рабочей среде, для которой предназначено оборудование. Изменения химич</w:t>
      </w:r>
      <w:r>
        <w:t>еских и физических свойств материалов в течение всего назначенного срока службы или назначенного ресурса оборудования не должны приводить к нарушению его безопасной работы;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пригодные для предусмотренных видов обработки;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выбираемые таким образом, чтобы при соединении их друг с другом обеспечивалась прочность оборудования в течение срока службы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39. Применяемый в оборудовании материал считается пластичным, если при испытании на растяжение его относительное у</w:t>
      </w:r>
      <w:r>
        <w:t>длинение после разрыва составляет не менее 14 процентов, а ударная вязкость, определенная на образцах с концентратором типа KCV (с V-образным надрезом), составляет не менее 27 Дж/см</w:t>
      </w:r>
      <w:r>
        <w:rPr>
          <w:vertAlign w:val="superscript"/>
        </w:rPr>
        <w:t>2</w:t>
      </w:r>
      <w:r>
        <w:t xml:space="preserve"> при температуре выше 20 °C, но не выше минимально допустимой температуры.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40. Для снятия остаточных напряжений в элементах оборудования, возникающих в процессе их изготовления, недопустимых с точки зрения безопасной эксплуатации оборудования, должна проводиться термическая обработка. Необходимость, вид и режимы термической обра</w:t>
      </w:r>
      <w:r>
        <w:t>ботки определяются разработчиком оборудования.</w:t>
      </w:r>
    </w:p>
    <w:p w:rsidR="00C900B7" w:rsidRDefault="00E35299">
      <w:pPr>
        <w:pStyle w:val="ConsPlusNormal0"/>
        <w:jc w:val="both"/>
      </w:pPr>
      <w:r>
        <w:t xml:space="preserve">(п. 40 в ред. </w:t>
      </w:r>
      <w:hyperlink r:id="rId16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41. При изготовлени</w:t>
      </w:r>
      <w:r>
        <w:t xml:space="preserve">и (производстве) оборудования и устройств безопасности изготовителем обеспечивается их соответствие характеристикам и параметрам, предусмотренным проектной документацией, в соответствии с требованиями безопасности технического </w:t>
      </w:r>
      <w:hyperlink w:anchor="P42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Таможенного союза "О безопасности оборудования, работающего под избыточным давлением" (ТР ТС 032/2013) с учетом применяемых технологических процессов и системы контроля.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42. При изготовлении (производств</w:t>
      </w:r>
      <w:r>
        <w:t>е) деталей путем вальцовки, штамповки, закругления кромок не допускаются изменение механических характеристик материалов, наличие повреждений, трещин и других дефектов, которые могут повлиять на безопасность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43. Сварные и другие неразъемные с</w:t>
      </w:r>
      <w:r>
        <w:t>оединения элементов оборудования, выполняемые при изготовлении, в том числе по месту эксплуатации, должны быть подвергнуты неразрушающему контролю, по результатам которого должны быть оформлены отчетные документы. При разработке технологии изготовления обо</w:t>
      </w:r>
      <w:r>
        <w:t>рудования должно быть обеспечено выполнение указанного требования.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Сварные и другие неразъемные соединения элементов оборудования должны быть доступны для неразрушающего контроля, предусмотренного проектом и руководством (инструкцией) по эксплуатации, в те</w:t>
      </w:r>
      <w:r>
        <w:t>чение всего срока эксплуатации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Методы (виды) неразрушающего контроля устанавливаются разработчиком оборудования.</w:t>
      </w:r>
    </w:p>
    <w:p w:rsidR="00C900B7" w:rsidRDefault="00E35299">
      <w:pPr>
        <w:pStyle w:val="ConsPlusNormal0"/>
        <w:jc w:val="both"/>
      </w:pPr>
      <w:r>
        <w:t xml:space="preserve">(п. 43 в ред. </w:t>
      </w:r>
      <w:hyperlink r:id="rId16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</w:t>
      </w:r>
      <w:r>
        <w:t>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44. Оборудование, снабженное быстросъемными крышками, должно иметь устройства, исключающие возможность включения оборудования под давление при неполном закрытии крышки и открывания крышки при нал</w:t>
      </w:r>
      <w:r>
        <w:t>ичии в оборудовании избыточного давления.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45. На котле устанавливаются приборы безопасности, обеспечивающие автоматическое отключение котла или его элементов при недопустимых отклонениях от расчетных режимов эксплуатации.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46. Элемент оборудования, внутренн</w:t>
      </w:r>
      <w:r>
        <w:t xml:space="preserve">ий объем которого ограничен запорной арматурой и давление в котором может повыситься сверх допустимого, оснащается предохранительными устройствами, автоматически предотвращающими повышение давления сверх допустимого путем выпуска рабочей среды в атмосферу </w:t>
      </w:r>
      <w:r>
        <w:t>или утилизационную систему.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47. В качестве предохранительных устройств применяются: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рычажно-грузовые предохранительные клапаны прямого действия;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пружинные предохранительные клапаны прямого действия;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импульсные предохранительные устройства, состоящ</w:t>
      </w:r>
      <w:r>
        <w:t>ие из импульсного клапана и главного предохранительного клапана;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предохранительные устройства с разрушающимися мембранами (мембранные предохранительные устройства).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48. Предохранительные устройства размещаются в местах, доступных для их обслуживания.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49</w:t>
      </w:r>
      <w:r>
        <w:t>. Отводящие трубопроводы предохранительных устройств и импульсные линии импульсных предохранительных устройств в местах возможного скопления конденсата оборудуются дренажными трубопроводами для удаления конденсата.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Установка запорной арматуры или другой ар</w:t>
      </w:r>
      <w:r>
        <w:t>матуры на дренажных трубопроводах не допускается. Среда, выходящая из предохранительных устройств и дренажей, отводится в безопасное место. Сбрасываемые взрывопожароопасные, технологические и токсичные среды группы 1 направляются в закрытые системы для дал</w:t>
      </w:r>
      <w:r>
        <w:t>ьнейшей утилизации, или в системы организованного сжигания, или в атмосферу - для газов плотностью по отношению к воздуху 0,8 и менее.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Запрещается объединять сбросы, содержащие вещества, которые способны при смешивании образовывать взрывоопасные смеси или </w:t>
      </w:r>
      <w:r>
        <w:t>нестабильные соединения.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50. Конструкция присоединительных трубопроводов предохранительных устройств (подводящих, отводящих и дренажных) должна исключать возможность замерзания в них рабочей среды.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При установке на одном патрубке или трубопроводе нескольки</w:t>
      </w:r>
      <w:r>
        <w:t>х предохранительных устройств площадь поперечного сечения патрубка или трубопровода должна составлять не менее 1,25 суммарной площади сечения установленных на нем предохранительных клапанов. При определении сечения присоединительного трубопровода длиной бо</w:t>
      </w:r>
      <w:r>
        <w:t>лее 1000 мм учитывается значение его линейного сопротивления (потери давления).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51. Рычажно-грузовой предохранительный клапан или пружинный предохранительный клапан оборудуется устройством для проверки исправности действия клапана во время работы оборудова</w:t>
      </w:r>
      <w:r>
        <w:t>ния путем принудительного открытия. В случае, когда принудительное открытие недопустимо по свойствам рабочей среды или в условиях технологического процесса, изготовитель должен определить порядок и методы проверки предохранительных клапанов.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69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Импульсный предохранительный клапан оборудуется устройством, позволяющим производи</w:t>
      </w:r>
      <w:r>
        <w:t>ть принудительное открытие предохранительного клапана дистанционно при помощи щита управления.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Конструкция пружинных предохранительных клапанов должна исключать возможность затяжки пружины сверх значения, установленного регулировкой на срабатывание при заданном давлении. Пружины предохранительных клапанов защищаются от недопустимого нагрева или охла</w:t>
      </w:r>
      <w:r>
        <w:t>ждения, а также от прямого воздействия рабочей среды.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52. Оборудование, расчетное давление которого меньше давления питающего его источника, оснащается на подводящем присоединительном трубопроводе автоматическим редуцирующим устройством с манометром и пред</w:t>
      </w:r>
      <w:r>
        <w:t>охранительным клапаном, установленными на стороне меньшего давления после редуцирующего устройства.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7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</w:t>
      </w:r>
      <w:r>
        <w:t>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Редукционно-охладительные устройства обеспечивают автоматическое регулирование температуры. В случае установки обводной линии (байпаса) она также оснащается редуцирующим устройством.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53. Для группы сосудов, работающих при одном </w:t>
      </w:r>
      <w:r>
        <w:t>и том же давлении, допускается установка 1 редуцирующего устройства с манометром и предохранительным клапаном на общем подводящем присоединительном трубопроводе до первого ответвления к одному из сосудов. В этом случае установка предохранительных устройств</w:t>
      </w:r>
      <w:r>
        <w:t xml:space="preserve"> на самих сосудах необязательна, если в них исключена возможность повышения давления.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В случае если автоматическое редуцирующее устройство вследствие физических свойств рабочей среды не может надежно работать, допускается установка регулятора расхода, при </w:t>
      </w:r>
      <w:r>
        <w:t>этом предусматривается защита от повышения давления.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54. Количество предохранительных клапанов, их размеры и пропускная способность определяются с таким расчетом, чтобы в сосуде не создавалось избыточное давление, превышающее расчетное давление: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71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более чем на 0,05 МПа - для сосудов, в которых избыточное давление составляет м</w:t>
      </w:r>
      <w:r>
        <w:t>енее 0,3 МПа;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на 15 процентов - для сосудов, в которых избыточное давление составляет от 0,3 до 6 МПа включительно;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на 10 процентов - для сосудов, в которых избыточное давление составляет более 6 МПа.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55. При работающих предохранительных клапанах доп</w:t>
      </w:r>
      <w:r>
        <w:t>ускается превышение расчетного давления в сосуде не более чем на 25 процентов при условии, что это превышение подтверждено расчетом на прочность и предусмотрено руководством (инструкцией) по эксплуатации сосуда.</w:t>
      </w:r>
    </w:p>
    <w:p w:rsidR="00C900B7" w:rsidRDefault="00E35299">
      <w:pPr>
        <w:pStyle w:val="ConsPlusNormal0"/>
        <w:jc w:val="both"/>
      </w:pPr>
      <w:r>
        <w:t xml:space="preserve">(п. 55 в ред. </w:t>
      </w:r>
      <w:hyperlink r:id="rId172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56. Предохранительные клапаны должны обеспечивать защиту котлов, пароперегревателей, экономайзеров и трубопров</w:t>
      </w:r>
      <w:r>
        <w:t>одов от превышения в них давления более чем на 10 процентов от расчетного давления. Превышение давления при полном открытии предохранительных клапанов более чем на 10 процентов от расчетного давления допускается в случае, если это предусмотрено расчетом на</w:t>
      </w:r>
      <w:r>
        <w:t xml:space="preserve"> прочность котла, пароперегревателя, экономайзера и трубопровода.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73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57. На</w:t>
      </w:r>
      <w:r>
        <w:t xml:space="preserve"> паровых котлах с рабочим давлением более 4 МПа (за исключением передвижных котлов и котлов паропроизводительностью менее 35 т/ч) устанавливаются только импульсные предохранительные клапаны. На оборудовании передвижных котельных установок не допускается ус</w:t>
      </w:r>
      <w:r>
        <w:t>тановка рычажно-грузовых предохранительных клапанов.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7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58. На каждом паров</w:t>
      </w:r>
      <w:r>
        <w:t>ом и водогрейном котлах и отключаемом по рабочей среде пароперегревателе устанавливаются предохранительные клапаны. Количество и места их установки определяются при разработке (проектировании).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Суммарная пропускная способность устанавливаемых на котлах пре</w:t>
      </w:r>
      <w:r>
        <w:t>дохранительных устройств должна быть не менее номинальной производительности этого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59. Пропускная способность предохранительного клапана подтверждается соответствующими испытаниями головного образца предохранительного клапана данной конструкц</w:t>
      </w:r>
      <w:r>
        <w:t>ии, проведенными его изготовителем, и указывается в паспорте предохранительного клапана.</w:t>
      </w:r>
    </w:p>
    <w:p w:rsidR="00C900B7" w:rsidRDefault="00E35299">
      <w:pPr>
        <w:pStyle w:val="ConsPlusNormal0"/>
        <w:jc w:val="both"/>
      </w:pPr>
      <w:r>
        <w:t xml:space="preserve">(п. 59 в ред. </w:t>
      </w:r>
      <w:hyperlink r:id="rId175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</w:t>
      </w:r>
      <w:r>
        <w:t>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60. Предохранительные устройства на паровых и водогрейных котлах устанавливаются на патрубках или трубопроводах, непосредственно присоединенных к котлам, следующим образом: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на паровых котлах с естественной циркуляцией без паропере</w:t>
      </w:r>
      <w:r>
        <w:t>гревателя - на верхнем барабане или сухопарнике;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на паровых прямоточных котлах, а также на котлах с принудительной циркуляцией - на выходных коллекторах или выходном паропроводе;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на водогрейных котлах - на выходных коллекторах или барабане;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на про</w:t>
      </w:r>
      <w:r>
        <w:t>межуточных пароперегревателях возможна установка всех предохранительных устройств пароперегревателя на стороне входа пара;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в отключаемых по воде экономайзерах - не менее чем по 1 предохранительному устройству на выходе и входе воды.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61. При наличии у котла неотключаемого пароперегревателя часть предохранительных клапанов с пропускной способностью не менее 50 процентов от номинальной производительности котла устанавливается на выходном коллекторе пароперегревателя.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62. На паровых котлах с рабочим давлением более 4 МПа импульсные предохранительные клапаны непрямого действия устанавливаются на выходном коллекторе неотключаемого пароперегревателя или на паропроводе до главной запорной арматуры, при этом у барабанных кот</w:t>
      </w:r>
      <w:r>
        <w:t>лов для 50 процентов клапанов по суммарной пропускной способности отбор пара для импульсов производится от барабана котла.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При нечетном количестве одинаковых клапанов допускается отбор пара для импульсов от барабана не менее чем для одной трети, но не боле</w:t>
      </w:r>
      <w:r>
        <w:t xml:space="preserve">е чем для одной второй клапанов, установленных на паровом котле. На блочных установках в случае размещения предохранительных клапанов на паропроводе непосредственно у турбин допускается для импульсов всех предохранительных клапанов использовать перегретый </w:t>
      </w:r>
      <w:r>
        <w:t>пар, при этом для 50 процентов клапанов подается дополнительный электрический импульс от контактного манометра, подключенного к барабану котла.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При нечетном количестве одинаковых предохранительных клапанов допускается подавать дополнительный электрический </w:t>
      </w:r>
      <w:r>
        <w:t>импульс от контактного манометра, подключенного к барабану котла, не менее чем для одной трети, но не более чем для одной второй клапанов.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63. Для отключаемых экономайзеров котлов места установки предохранительных клапанов, методика их регулировки и величи</w:t>
      </w:r>
      <w:r>
        <w:t>ны давления их открытия определяются проектировщиком.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На прямоточных паровых котлах, у которых во время растопки или остановки котла первая (по ходу воды) часть поверхности нагрева отключается от остальной части поверхности нагрева запорной арматурой, необ</w:t>
      </w:r>
      <w:r>
        <w:t>ходимость установки, количество и размеры предохранительных клапанов для первой части поверхности нагрева определяются проектной документацией.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76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64. Мембранные предохранительные устройства устанавливаются на сосудах и трубопроводах: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если рычажно-грузовые и пружинные предохранительные клапаны не могут быть применены вследстви</w:t>
      </w:r>
      <w:r>
        <w:t>е их инерционности или по другим причинам;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б) перед предохранительными клапанами в случае, если предохранительные клапаны не могут надежно работать вследствие вредного воздействия рабочей среды (коррозии, эрозии, полимеризации, кристаллизации, прикипания, </w:t>
      </w:r>
      <w:r>
        <w:t>примерзания) или возможных утечек через закрытый клапан взрывопожароопасных, токсичных, экологически вредных веществ. В этом случае на оборудовании должно быть предусмотрено устройство, позволяющее контролировать исправность мембраны;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параллельно с пред</w:t>
      </w:r>
      <w:r>
        <w:t>охранительными клапанами для увеличения пропускной способности систем сброса давления;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на выходной стороне предохранительных клапанов для предотвращения вредного воздействия рабочих сред со стороны сбросной системы и для исключения влияния колебаний про</w:t>
      </w:r>
      <w:r>
        <w:t>тиводавления со стороны этой системы на надежность срабатывания предохранительных клапанов.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65. Необходимость и место установки мембранных предохранительных устройств, а также их конструкция определяются проектом оборудования. Предохранительные мембраны ус</w:t>
      </w:r>
      <w:r>
        <w:t>танавливаются только в предназначенные для них узлы крепления.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Мембранные предохранительные устройства размещаются в местах, открытых и доступных для осмотра, их монтажа и демонтажа. Присоединительные трубопроводы защищаются от замерзания в них рабочей сре</w:t>
      </w:r>
      <w:r>
        <w:t>ды, а сами предохранительные устройства устанавливаются на патрубках или трубопроводах, непосредственно присоединенных к оборудованию.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При установке мембранного предохранительного устройства последовательно с предохранительным клапаном (перед клапаном или </w:t>
      </w:r>
      <w:r>
        <w:t>за ним) полость между мембраной и предохранительным клапаном сообщается отводной трубкой с сигнальным манометром (для контроля исправности мембран).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Допускается установка переключающего устройства перед мембранными предохранительными устройствами при налич</w:t>
      </w:r>
      <w:r>
        <w:t>ии удвоенного числа мембранных устройств с обеспечением при этом защиты оборудования от превышения давления при любом положении переключающего устройства.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66. Для контроля уровня жидкости в оборудовании, имеющем границу раздела сред, применяются указатели </w:t>
      </w:r>
      <w:r>
        <w:t>уровня жидкой рабочей среды. Наряду с указателями уровня жидкости на оборудовании устанавливаются звуковые, световые и другие сигнализаторы и блокировки по предельным уровням жидкости.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77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67. На паровом котле, за исключением прямоточного, и на обогреваемом пламенем или горючими газами сосуде, в которых возможно понижение уровня ж</w:t>
      </w:r>
      <w:r>
        <w:t>идкости ниже допустимого, устанавливается не менее 2 указателей уровня жидкости прямого действия.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Допускается дополнительно в качестве дублирующих устанавливать указатели уровня жидкости непрямого действия. Количество и места установки указателей уровня жи</w:t>
      </w:r>
      <w:r>
        <w:t>дкости в паровых котлах (в том числе со ступенчатым испарением в барабанах или с выносным сепаратором), за исключением прямоточных котлов, и в обогреваемых пламенем или горючими газами сосудах определяются проектом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68. Указатель уровня жидкос</w:t>
      </w:r>
      <w:r>
        <w:t>ти прямого действия должен иметь самостоятельное подключение к оборудованию. Допускается установка 2 указателей уровня жидкости прямого действия на соединительной трубе (колонке) диаметром не менее 70 мм.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Установка на трубах, соединяющих указатель уровня ж</w:t>
      </w:r>
      <w:r>
        <w:t>идкости прямого действия с оборудованием, промежуточных фланцев и запорной арматуры, за исключением датчиков сигнализаторов предельных уровней жидкости, не допускается. Указанное требование не относится к фланцам запорной арматуры, входящей в состав указат</w:t>
      </w:r>
      <w:r>
        <w:t>еля уровня жидкости.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78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Подключение к указателю уровня жидкости прямого дей</w:t>
      </w:r>
      <w:r>
        <w:t>ствия и его присоединительным трубам или штуцерам других приборов не допускается, за исключением датчика сигнализатора предельных уровней жидкости, если при этом не нарушается работа указателя уровня жидкости.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69. Конфигурация труб, соединяющих указатели у</w:t>
      </w:r>
      <w:r>
        <w:t>ровня жидкости с оборудованием, должна исключать образование в них водяных мешков и обеспечивать возможность очистки труб. Соединительные трубы должны быть защищены от теплового обогрева продуктами сгорания топлива и от замерзания.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70. Указатели уровня жид</w:t>
      </w:r>
      <w:r>
        <w:t>кости прямого действия располагаются и освещаются так, чтобы уровень жидкости был виден с рабочего места обслуживающего персонала. На оборудовании с рабочим давлением более 4 МПа указатели уровня жидкости прямого действия снабжаются кожухами для защиты пер</w:t>
      </w:r>
      <w:r>
        <w:t>сонала в случае разрушения прозрачных пластин.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71. Ширина смотровой щели указателя уровня жидкости определяется проектом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72. Указатели уровня жидкости снабжаются запорной арматурой для отключения их от оборудования и для продувки. На запорной арматуре указываются (отлиты, выбиты или нанесены краской) направления открытия и закрытия, а на кране дополнительно указывается полож</w:t>
      </w:r>
      <w:r>
        <w:t>ение его проходного отверстия. Внутренний диаметр прохода запорной арматуры должен быть не менее 8 мм. Для спуска воды при продувке указателей уровня жидкости предусматриваются воронки с защитным приспособлением и отводной трубой для обеспечения слива обор</w:t>
      </w:r>
      <w:r>
        <w:t>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73. При давлении в оборудовании более 4,5 МПа указатели уровня жидкости снабжаются 2 последовательно расположенными комплектами запорных арматур для отключения их от оборудования.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74. В случае если расстояние от площадки, с которой производится н</w:t>
      </w:r>
      <w:r>
        <w:t>аблюдение за уровнем жидкости в оборудовании, до указателя уровня жидкости прямого действия составляет более 6 м, а также если уровень жидкости не виден с рабочего места обслуживающего персонала, устанавливаются 2 сниженных дистанционных указателя уровня ж</w:t>
      </w:r>
      <w:r>
        <w:t>идкости. В этом случае на оборудовании допускается установка 1 указателя уровня жидкости прямого действия.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Сниженные дистанционные указатели уровня жидкости присоединяются непосредственно к оборудованию отдельными штуцерами независимо от других указателей </w:t>
      </w:r>
      <w:r>
        <w:t>уровня жидкости и имеют успокоительные устройства.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75. На котлах-утилизаторах и энерготехнологических котлах дистанционные указатели уровня жидкости устанавливаются на пульте (пультах) управления данными котлами.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76. Паровые котлы с электрообогревом оснаща</w:t>
      </w:r>
      <w:r>
        <w:t>ются системой автоматического отключения электропитания при снижении уровня жидкости ниже предельно допустимого уровня.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77. Котлы оборудуются автоматическими звуковыми и световыми сигнализаторами верхнего и нижнего предельных уровней воды. Аналогичная сигн</w:t>
      </w:r>
      <w:r>
        <w:t>ализация должна действовать по всем параметрам, по которым срабатывают на остановку автоматические устройства и приборы безопасности.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78. Паровые котлы независимо от типа и паропроизводительности оборудуются автоматическими регуляторами подачи питательной </w:t>
      </w:r>
      <w:r>
        <w:t>воды. Паровые котлы с температурой пара на выходе из основного или промежуточного пароперегревателя более 400 °C оснащаются автоматическими устройствами для регулирования температуры пара.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79. На котлах, имеющих пароперегреватель, на каждом паропроводе до </w:t>
      </w:r>
      <w:r>
        <w:t>главной запорной арматуры предусматриваются средства измерения температуры перегретого пара. На котлах с промежуточным перегревом пара средства измерения температуры устанавливаются на входе и выходе пара.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80. На котлах с естественной циркуляцией и перегре</w:t>
      </w:r>
      <w:r>
        <w:t>вом пара с производительностью пара более 20 т/ч, прямоточных котлах с производительностью пара более 1 т/ч вместе с показывающими средствами измерений предусматриваются средства измерений с непрерывной регистрацией величины температуры перегретого пара.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8</w:t>
      </w:r>
      <w:r>
        <w:t>1. На пароперегревателях с несколькими параллельными секциями помимо средств измерения величины температуры пара, устанавливаемых на общих паропроводах перегретого пара, устанавливаются средства периодических измерений величины температуры пара на выходе к</w:t>
      </w:r>
      <w:r>
        <w:t>аждой секции, а на паровых котлах с температурой пара более 500 °C - на выходной части змеевиков пароперегревателя по 1 средству измерения на каждый метр ширины газохода.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82. На паровых котлах с производительностью пара более 400 т/ч на выходной части змее</w:t>
      </w:r>
      <w:r>
        <w:t>виков пароперегревателей устанавливаются средства измерений с непрерывной регистрацией величины температуры пара. На паровых котлах с пароохладителями для регулирования величины температуры перегрева пара до пароохладителя и после него устанавливаются сред</w:t>
      </w:r>
      <w:r>
        <w:t>ства измерений соответствующих величин.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83. На входе воды в экономайзер и выходе воды из экономайзера, а также на трубопроводах питательной воды паровых котлов без экономайзеров предусматриваются средства измерения величины температуры питательной воды.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84. На водогрейных котлах средства измерения температуры воды устанавливаются на входе воды в котел и на выходе воды из котла.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85. На водогрейных котлах с теплопроизводительностью более 1,163 МВт устанавливаются регистрирующие средства измерения температур</w:t>
      </w:r>
      <w:r>
        <w:t>ы воды на выходе из котла.</w:t>
      </w:r>
    </w:p>
    <w:p w:rsidR="00C900B7" w:rsidRDefault="00E35299">
      <w:pPr>
        <w:pStyle w:val="ConsPlusNormal0"/>
        <w:jc w:val="both"/>
      </w:pPr>
      <w:r>
        <w:t xml:space="preserve">(п. 85 в ред. </w:t>
      </w:r>
      <w:hyperlink r:id="rId179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86. Для контроля за температурой металл</w:t>
      </w:r>
      <w:r>
        <w:t>а и предупреждения повышения ее сверх допустимых значений при растопках, остановках и маневренных режимах котла предусматриваются средства измерения температуры стенок его элементов. Необходимость установки средств измерения температуры, их количество и ра</w:t>
      </w:r>
      <w:r>
        <w:t>змещение определяются разработчиком проекта котла.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87. Сосуды, работающие при изменяющейся температуре стенок, оборудуются средствами измерения температуры для контроля скорости и равномерности прогрева тела сосуда по длине и высоте, а также указателями те</w:t>
      </w:r>
      <w:r>
        <w:t>пловых перемещений. Необходимость оборудования сосудов средствами измерения температуры и указателями тепловых перемещений, допустимая скорость прогрева и охлаждения сосудов определяются разработчиком проекта сосуда и указываются изготовителем в паспорте о</w:t>
      </w:r>
      <w:r>
        <w:t>борудования или в руководстве (инструкции) по эксплуатации.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88. Оборудование и его отдельные полости с разными значениями давления оснащаются средствами измерения давления прямого действия.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89. Паровые котлы с производительностью пара более 10 т/ч и водогр</w:t>
      </w:r>
      <w:r>
        <w:t>ейные котлы с теплопроизводительностью более 5,83 МВт должны быть оборудованы регистрирующим средством измерения давления.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80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</w:t>
      </w:r>
      <w:r>
        <w:t>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90. Средства измерения давления размещаются: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на барабане котла;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на котле с пароперегревателем на барабане котла и за пароперегревателем до главной запорной арматуры;</w:t>
      </w:r>
    </w:p>
    <w:p w:rsidR="00C900B7" w:rsidRDefault="00E35299">
      <w:pPr>
        <w:pStyle w:val="ConsPlusNormal0"/>
        <w:jc w:val="both"/>
      </w:pPr>
      <w:r>
        <w:t xml:space="preserve">(пп. "б" в ред. </w:t>
      </w:r>
      <w:hyperlink r:id="rId181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на штуцере сосуда или на трубопроводе между сосудом и запорной арматурой;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на прямоточном ко</w:t>
      </w:r>
      <w:r>
        <w:t>тле за пароперегревателем перед главным запорным органом.</w:t>
      </w:r>
    </w:p>
    <w:p w:rsidR="00C900B7" w:rsidRDefault="00E35299">
      <w:pPr>
        <w:pStyle w:val="ConsPlusNormal0"/>
        <w:jc w:val="both"/>
      </w:pPr>
      <w:r>
        <w:t xml:space="preserve">(в ред. </w:t>
      </w:r>
      <w:hyperlink r:id="rId182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<w:r>
          <w:rPr>
            <w:color w:val="0000FF"/>
          </w:rPr>
          <w:t>решения</w:t>
        </w:r>
      </w:hyperlink>
      <w:r>
        <w:t xml:space="preserve"> Совета Евразийской экономической комиссии от 23.04.2021 N 49)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91. На водогрейных котлах средства измерения давления размещаются на входе воды в </w:t>
      </w:r>
      <w:r>
        <w:t>котел и на выходе воды из котла перед запорной арматурой.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92. Класс точности средства измерения давления должен быть не ниже: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2,5 - при рабочем давлении не более 2,5 МПа;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1,5 - при рабочем давлении от 2,5 до 14 Мпа включительно;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1 - при рабочем да</w:t>
      </w:r>
      <w:r>
        <w:t>влении более 14 МПа.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93. При установке средства измерения давления на высоте более 5 м предусматривается дублирующее средство измерения давления.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94. Конструкцией оборудования предусматривается возможность безопасной продувки, проверки и отключения средств</w:t>
      </w:r>
      <w:r>
        <w:t>а измерения давления.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95. Тип арматуры, ее количество и место установки определяются разработчиком проекта оборудования исходя из обеспечения безопасности и предусмотренных проектом отключений оборудования и его элементов.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96. При групповой подаче питатель</w:t>
      </w:r>
      <w:r>
        <w:t xml:space="preserve">ной воды в котлы напор насоса выбирается с учетом требований технического </w:t>
      </w:r>
      <w:hyperlink w:anchor="P42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Таможенного союза "О безопасности оборудования, работающего под избыточным давлением" (ТР ТС 032/201</w:t>
      </w:r>
      <w:r>
        <w:t>3), а также исходя из условия обеспечения питания котла с наибольшим рабочим давлением или с наибольшей потерей напора в трубопроводе питательной воды.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97. Подача воды питательными устройствами определяется по номинальной производительности пара котлов с у</w:t>
      </w:r>
      <w:r>
        <w:t>четом расхода воды на непрерывную или периодическую продувку, пароохлаждение, обеспечение функционирования редукционно-охладительных и охладительных устройств, а также с учетом возможности потери воды или пара.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98. Тип, характеристика, количество и схема в</w:t>
      </w:r>
      <w:r>
        <w:t>ключения питательных устройств обеспечивают безопасную эксплуатацию котла в процессе эксплуатации, включая аварийные остановки.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99. При разработке (проектировании) трубопроводов необходимо: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для трубопроводов номинальным диаметром более 150 мм с температ</w:t>
      </w:r>
      <w:r>
        <w:t>урой рабочей среды 300 °C и более в проекте определить необходимое количество указателей перемещений для контроля за тепловым расширением трубопроводов и наблюдения за правильностью работы опорно-подвесной системы;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б) предусмотреть устройства для удаления </w:t>
      </w:r>
      <w:r>
        <w:t>конденсата в случаях, если внутри труб, транспортирующих парогазообразные рабочие среды, возможно его образование. Эти устройства должны быть расположены в нижних точках трубопроводов;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в) учесть возможность повреждений от нарушений гидравлического режима, </w:t>
      </w:r>
      <w:r>
        <w:t>а также от эрозионно-коррозионного износа;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г) предусмотреть меры и средства для снижения вибрации и исключения возможности аварийного разрушения и разгерметизации трубопроводов, которые в процессе эксплуатации подвергаются вибрации;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предусмотреть устрой</w:t>
      </w:r>
      <w:r>
        <w:t>ства, отключающие ответвления трубопроводов в тех случаях, если в этих трубопроводах содержатся рабочие среды группы 1;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е) свести к минимуму опасность случайного выхода рабочей среды. Места отбора рабочей среды должны быть четко обозначены с указанием назв</w:t>
      </w:r>
      <w:r>
        <w:t>ания рабочей среды;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ж) разработать техническую документацию на подземные трубопроводы, содержащую сведения, необходимые для их безопасного технического обслуживания, контроля и ремонта (марки стали, диаметр, толщина труб, протяженность трубопровода, распол</w:t>
      </w:r>
      <w:r>
        <w:t>ожение опор, компенсаторов, подвесок, арматуры, воздушников и дренажных устройств, сварных соединений с указанием расстояний между ними и от них до колодцев и абонентских вводов, расположение указателей для контроля состояния трубопровода и параметров рабо</w:t>
      </w:r>
      <w:r>
        <w:t>чей среды).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100. Конструкция барокамеры должна обеспечивать возможность осмотра (в том числе внутренней поверхности), очистки, промывки, продувки и ремонта барокамеры.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101. При разработке (проектировании) барокамер учитываются нагрузки, возникающие при монтаже и под воздействием инерционных сил.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102. Длительность пребывания людей в барокамере определяется проектом и указывается в паспорте. В случае длительного пребывания</w:t>
      </w:r>
      <w:r>
        <w:t xml:space="preserve"> людей в барокамере предусматриваются отсеки с различным функциональным предназначением.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103. Проект оборудования должен предусматривать гермовводы или сальники высокого давления для электрических кабелей, обеспечивающие механическую прочность, аксиальную </w:t>
      </w:r>
      <w:r>
        <w:t>и радиальную герметичность, газоплотность гермоввода в целом и его токопроводящих элементов, а также электрическую прочность изоляции во всем диапазоне давлений в барокамере.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104. Конструкция барокамеры должна обеспечивать возможность открывания барокамеры</w:t>
      </w:r>
      <w:r>
        <w:t xml:space="preserve"> изнутри и снаружи. Не допускается применять запоры для закрытия дверей или крышек внутри барокамеры.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105. Для визуального или телевизионного наблюдения за обстановкой внутри барокамеры и для освещения внутреннего пространства проектом оборудования предусм</w:t>
      </w:r>
      <w:r>
        <w:t>атриваются иллюминаторы, оборудованные наружной крышкой, предохраняющей стекло иллюминатора от механических повреждений.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 xml:space="preserve">При разработке (проектировании), изготовлении (производстве) иллюминаторов барокамер применяются светопропускающие материалы с запасом </w:t>
      </w:r>
      <w:r>
        <w:t>прочности не менее запаса прочности корпуса барокамеры и коэффициентом светопропускания не менее 85 процентов.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106. Проектом оборудования предусматриваются системы подачи воздуха и газоснабжения для следующих целей: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а) формирование газовой среды в барокамере;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б) обеспечение работы стационарной дыхательной системы;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в) поддержание и изменение давления в барокамере;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г</w:t>
      </w:r>
      <w:r>
        <w:t>) поддержание и изменение состава газовой среды в барокамере по кислороду и индифферентным газам;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д) шлюзование.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107. Системами подачи воздуха и газоснабжения обеспечиваются повышение давления в барокамере со скоростью не менее 0,2 МПа/мин. для давления от</w:t>
      </w:r>
      <w:r>
        <w:t xml:space="preserve"> 0,1 до 1,7 МПа включительно (1 - 17 кгс/см</w:t>
      </w:r>
      <w:r>
        <w:rPr>
          <w:vertAlign w:val="superscript"/>
        </w:rPr>
        <w:t>2</w:t>
      </w:r>
      <w:r>
        <w:t>), не менее 0,1 МПа/мин. (1 кгс/см</w:t>
      </w:r>
      <w:r>
        <w:rPr>
          <w:vertAlign w:val="superscript"/>
        </w:rPr>
        <w:t>2</w:t>
      </w:r>
      <w:r>
        <w:t>·мин.) - для давления более 1,7 МПа (17 кгс/см</w:t>
      </w:r>
      <w:r>
        <w:rPr>
          <w:vertAlign w:val="superscript"/>
        </w:rPr>
        <w:t>2</w:t>
      </w:r>
      <w:r>
        <w:t xml:space="preserve">) и поддержание давления с точностью </w:t>
      </w:r>
      <w:r>
        <w:rPr>
          <w:noProof/>
          <w:position w:val="-2"/>
        </w:rPr>
        <w:drawing>
          <wp:inline distT="0" distB="0" distL="0" distR="0">
            <wp:extent cx="170815" cy="182880"/>
            <wp:effectExtent l="0" t="0" r="0" b="0"/>
            <wp:docPr id="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0,025 МПа (0,25 кгс/см</w:t>
      </w:r>
      <w:r>
        <w:rPr>
          <w:vertAlign w:val="superscript"/>
        </w:rPr>
        <w:t>2</w:t>
      </w:r>
      <w:r>
        <w:t xml:space="preserve">). Снижение давления в барокамере производится со скоростью 0,003 - </w:t>
      </w:r>
      <w:r>
        <w:t>0,9 МПа/ч (0,03 - 9 кгс/см</w:t>
      </w:r>
      <w:r>
        <w:rPr>
          <w:vertAlign w:val="superscript"/>
        </w:rPr>
        <w:t>2</w:t>
      </w:r>
      <w:r>
        <w:t>·ч).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108. Средства газового контроля барокамеры должны обеспечивать точность замеров содержания кислорода, гелия и диоксида углерода, а также возможных вредных веществ.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109. Система и средства противопожарной защиты должны обеспе</w:t>
      </w:r>
      <w:r>
        <w:t>чивать обнаружение начала пожара в барокамере или предпосылок возгорания (дым, бесконтрольное повышение температуры), подачу аварийного сигнала, а также тушение обнаруженного пожара всеми имеющимися в барокамере средствами.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110. Средства автоматического уп</w:t>
      </w:r>
      <w:r>
        <w:t>равления должны обеспечивать безопасные условия пребывания людей внутри барокамеры.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111. Каждый отсек и шлюз барокамеры оснащается манометром, который устанавливается снаружи на штуцере, приваренном к корпусу барокамеры, или на щите управления системами ба</w:t>
      </w:r>
      <w:r>
        <w:t>рокамеры.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112. Силовые сети барокамеры должны иметь резервные источники электроэнергии, обеспечивающие бесперебойную работу элементов систем подачи воздуха и газоснабжения, систем и средств противопожарной защиты.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113. Вся коммутационно-защитная и пускорег</w:t>
      </w:r>
      <w:r>
        <w:t>улирующая аппаратура силового электрооборудования устанавливается вне барокамер. Силовые кабели в барокамере должны иметь негорючую изоляцию. Проект барокамеры должен предусматривать наличие системы защиты от статического электричества, возможность заземле</w:t>
      </w:r>
      <w:r>
        <w:t>ния внутренних съемных металлических изделий, оборудования и корпуса барокамеры.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114. Проектом оборудования определяется необходимость установки освещения. Светильники, устанавливаемые внутри барокамеры, должны быть герметичными, рассчитанными на рабочее д</w:t>
      </w:r>
      <w:r>
        <w:t>авление среды.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115. Проектом оборудования предусматривается возможность применения средств связи с людьми, находящимися внутри барокамеры.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116. Трубопроводы, паровые и водяные обогреватели, устанавливаемые внутри барокамеры, а также трубопроводы подачи сжа</w:t>
      </w:r>
      <w:r>
        <w:t>того воздуха и газовых смесей, устанавливаемые снаружи барокамеры, проектируются из бесшовных медных труб или труб из нержавеющей стали.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117. Для внутреннего оборудования барокамеры применяются негорючие (огнезащищенные) материалы, гарантированные от выдел</w:t>
      </w:r>
      <w:r>
        <w:t>ения вредных веществ в газовой среде барокамеры.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jc w:val="right"/>
        <w:outlineLvl w:val="1"/>
      </w:pPr>
      <w:r>
        <w:t>Приложение N 3</w:t>
      </w:r>
    </w:p>
    <w:p w:rsidR="00C900B7" w:rsidRDefault="00E35299">
      <w:pPr>
        <w:pStyle w:val="ConsPlusNormal0"/>
        <w:jc w:val="right"/>
      </w:pPr>
      <w:r>
        <w:t>к техническому регламенту Таможенного</w:t>
      </w:r>
    </w:p>
    <w:p w:rsidR="00C900B7" w:rsidRDefault="00E35299">
      <w:pPr>
        <w:pStyle w:val="ConsPlusNormal0"/>
        <w:jc w:val="right"/>
      </w:pPr>
      <w:r>
        <w:t>союза "О безопасности оборудования,</w:t>
      </w:r>
    </w:p>
    <w:p w:rsidR="00C900B7" w:rsidRDefault="00E35299">
      <w:pPr>
        <w:pStyle w:val="ConsPlusNormal0"/>
        <w:jc w:val="right"/>
      </w:pPr>
      <w:r>
        <w:t>работающего под избыточным давлением"</w:t>
      </w:r>
    </w:p>
    <w:p w:rsidR="00C900B7" w:rsidRDefault="00E35299">
      <w:pPr>
        <w:pStyle w:val="ConsPlusNormal0"/>
        <w:jc w:val="right"/>
      </w:pPr>
      <w:r>
        <w:t>(ТР ТС 032/2013)</w:t>
      </w:r>
    </w:p>
    <w:p w:rsidR="00C900B7" w:rsidRDefault="00C900B7">
      <w:pPr>
        <w:pStyle w:val="ConsPlusNormal0"/>
        <w:jc w:val="center"/>
      </w:pPr>
    </w:p>
    <w:p w:rsidR="00C900B7" w:rsidRDefault="00E35299">
      <w:pPr>
        <w:pStyle w:val="ConsPlusTitle0"/>
        <w:jc w:val="center"/>
      </w:pPr>
      <w:bookmarkStart w:id="27" w:name="P1271"/>
      <w:bookmarkEnd w:id="27"/>
      <w:r>
        <w:t>ТРЕБОВАНИЯ</w:t>
      </w:r>
    </w:p>
    <w:p w:rsidR="00C900B7" w:rsidRDefault="00E35299">
      <w:pPr>
        <w:pStyle w:val="ConsPlusTitle0"/>
        <w:jc w:val="center"/>
      </w:pPr>
      <w:r>
        <w:t>К ОТЛИЧИТЕЛЬНОЙ ОКРАСКЕ И ИДЕНТИФИКАЦИОННОЙ ИНФОРМАЦИИ</w:t>
      </w:r>
    </w:p>
    <w:p w:rsidR="00C900B7" w:rsidRDefault="00C900B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900B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4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Совета Евразийской экономической комиссии</w:t>
            </w:r>
          </w:p>
          <w:p w:rsidR="00C900B7" w:rsidRDefault="00E35299">
            <w:pPr>
              <w:pStyle w:val="ConsPlusNormal0"/>
              <w:jc w:val="center"/>
            </w:pPr>
            <w:r>
              <w:rPr>
                <w:color w:val="392C69"/>
              </w:rPr>
              <w:t>от 23</w:t>
            </w:r>
            <w:r>
              <w:rPr>
                <w:color w:val="392C69"/>
              </w:rPr>
              <w:t>.04.2021 N 49)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0B7" w:rsidRDefault="00C900B7">
            <w:pPr>
              <w:pStyle w:val="ConsPlusNormal0"/>
            </w:pPr>
          </w:p>
        </w:tc>
      </w:tr>
    </w:tbl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Title0"/>
        <w:jc w:val="center"/>
        <w:outlineLvl w:val="2"/>
      </w:pPr>
      <w:r>
        <w:t>I. Баллоны</w:t>
      </w:r>
    </w:p>
    <w:p w:rsidR="00C900B7" w:rsidRDefault="00C900B7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1814"/>
        <w:gridCol w:w="1757"/>
        <w:gridCol w:w="1531"/>
        <w:gridCol w:w="1644"/>
      </w:tblGrid>
      <w:tr w:rsidR="00C900B7"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Наименование газа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Окраска баллонов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Текст надписи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Цвет надписи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Цвет полосы</w:t>
            </w:r>
          </w:p>
        </w:tc>
      </w:tr>
      <w:tr w:rsidR="00C900B7"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C900B7" w:rsidRDefault="00E35299">
            <w:pPr>
              <w:pStyle w:val="ConsPlusNormal0"/>
              <w:jc w:val="center"/>
            </w:pPr>
            <w:r>
              <w:t>5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Азот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черная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азот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желтый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коричневый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Аммиак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желтая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аммиак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Аргон сырой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аргон сырой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белый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белый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Аргон технический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аргон технический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синий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синий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Аргон чистый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серая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аргон чистый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зеленый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зеленый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Ацетилен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белая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ацетилен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красный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Бутилен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красная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бутилен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желтый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черный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Нефтегаз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серая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нефтегаз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красный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Бутан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красная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бутан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белый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Водород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темно-зеленая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водород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красный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Воздух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сжатый воздух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белый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Гелий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коричневая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гелий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белый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Закись азота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серая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закись азота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Кислород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голубая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кислород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Кислород медицинский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голубая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кислород медицинский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Сероводород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белая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сероводород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красный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красный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Сернистый ангидрид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сернистый ангидрид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белый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желтый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Двуокись углерода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двуокись углерода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желтый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9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both"/>
            </w:pPr>
            <w:r>
              <w:t xml:space="preserve">(в ред. </w:t>
            </w:r>
            <w:hyperlink r:id="rId185" w:tooltip="Решение Совета Евразийской экономической комиссии от 23.04.2021 N 49 &quot;О внесении изменений в технический регламент Таможенного союза &quot;О безопасности оборудования, работающего под избыточным давлением&quot; (ТР ТС 032/2013)&quot; {КонсультантПлюс}">
              <w:r>
                <w:rPr>
                  <w:color w:val="0000FF"/>
                </w:rPr>
                <w:t>решения</w:t>
              </w:r>
            </w:hyperlink>
            <w:r>
              <w:t xml:space="preserve"> Совета Евразийской экономической комиссии от 23.04.2021 N 49)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Фосген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защитная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красный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Фреон-11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алюминиевая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фреон-11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синий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Фреон-12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алюминиевая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фреон-12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Фреон-13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алюминиевая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фреон-13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2 красные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Фреон-22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алюминиевая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фреон-22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2 желтые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Хлор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защитная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зеленый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Циклопропан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оранжевая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циклопропан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Этилен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фиолетовая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этилен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красный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Все другие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красная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белый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</w:pPr>
            <w:r>
              <w:t>горючие газы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C900B7">
            <w:pPr>
              <w:pStyle w:val="ConsPlusNormal0"/>
              <w:jc w:val="center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газа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C900B7">
            <w:pPr>
              <w:pStyle w:val="ConsPlusNormal0"/>
              <w:jc w:val="center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C900B7" w:rsidRDefault="00C900B7">
            <w:pPr>
              <w:pStyle w:val="ConsPlusNormal0"/>
              <w:jc w:val="center"/>
            </w:pPr>
          </w:p>
        </w:tc>
      </w:tr>
      <w:tr w:rsidR="00C900B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E35299">
            <w:pPr>
              <w:pStyle w:val="ConsPlusNormal0"/>
            </w:pPr>
            <w:r>
              <w:t>Все другие негорючие газы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черная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наименование газа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желтый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0B7" w:rsidRDefault="00E35299">
            <w:pPr>
              <w:pStyle w:val="ConsPlusNormal0"/>
              <w:jc w:val="center"/>
            </w:pPr>
            <w:r>
              <w:t>-</w:t>
            </w:r>
          </w:p>
        </w:tc>
      </w:tr>
    </w:tbl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ind w:firstLine="540"/>
        <w:jc w:val="both"/>
      </w:pPr>
      <w:r>
        <w:t>Примечания: 1. Надпись наносится по окружности баллона на длину не менее 1/3 окружности, а полоса - по всей окружности. При этом высота букв на баллонах вместимостью более 12 л должна быть 60 мм, а ширина полосы - 25 мм. На баллонах вместимостью до 12 л ра</w:t>
      </w:r>
      <w:r>
        <w:t>змеры букв и полос должны определяться в зависимости от величины боковой поверхности баллонов.</w:t>
      </w:r>
    </w:p>
    <w:p w:rsidR="00C900B7" w:rsidRDefault="00E35299">
      <w:pPr>
        <w:pStyle w:val="ConsPlusNormal0"/>
        <w:spacing w:before="240"/>
        <w:ind w:firstLine="540"/>
        <w:jc w:val="both"/>
      </w:pPr>
      <w:r>
        <w:t>2. Допускается окраска в серый или желтый цвет малолитражных баллонов (до 12 л) для дыхательных аппаратов и самоспасателей со сжатым воздухом.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Title0"/>
        <w:jc w:val="center"/>
        <w:outlineLvl w:val="2"/>
      </w:pPr>
      <w:r>
        <w:t xml:space="preserve">II. Автоцистерны </w:t>
      </w:r>
      <w:r>
        <w:t>для транспортировки сжиженных</w:t>
      </w:r>
    </w:p>
    <w:p w:rsidR="00C900B7" w:rsidRDefault="00E35299">
      <w:pPr>
        <w:pStyle w:val="ConsPlusTitle0"/>
        <w:jc w:val="center"/>
      </w:pPr>
      <w:r>
        <w:t>углеводородных газов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E35299">
      <w:pPr>
        <w:pStyle w:val="ConsPlusNormal0"/>
        <w:ind w:firstLine="540"/>
        <w:jc w:val="both"/>
      </w:pPr>
      <w:r>
        <w:t>Наружная поверхность автоцистерн для транспортировки сжиженных углеводородных газов окрашивается в светло-серый цвет. На обе боковые стороны сосуда наносится отличительная полоса красного цвета шириной не</w:t>
      </w:r>
      <w:r>
        <w:t xml:space="preserve"> менее 200 мм с надписью черного цвета над ней "Пропан - огнеопасно". На заднее днище сосуда наносится надпись черного цвета "огнеопасно".</w:t>
      </w: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ind w:firstLine="540"/>
        <w:jc w:val="both"/>
      </w:pPr>
    </w:p>
    <w:p w:rsidR="00C900B7" w:rsidRDefault="00C900B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900B7">
      <w:headerReference w:type="default" r:id="rId186"/>
      <w:footerReference w:type="default" r:id="rId187"/>
      <w:headerReference w:type="first" r:id="rId188"/>
      <w:footerReference w:type="first" r:id="rId18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35299" w:rsidRDefault="00E35299">
      <w:r>
        <w:separator/>
      </w:r>
    </w:p>
  </w:endnote>
  <w:endnote w:type="continuationSeparator" w:id="0">
    <w:p w:rsidR="00E35299" w:rsidRDefault="00E35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900B7" w:rsidRDefault="00C900B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900B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900B7" w:rsidRDefault="00E3529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900B7" w:rsidRDefault="00E3529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900B7" w:rsidRDefault="00E3529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900B7" w:rsidRDefault="00E3529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900B7" w:rsidRDefault="00C900B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900B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900B7" w:rsidRDefault="00E3529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900B7" w:rsidRDefault="00E3529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900B7" w:rsidRDefault="00E3529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900B7" w:rsidRDefault="00E3529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35299" w:rsidRDefault="00E35299">
      <w:r>
        <w:separator/>
      </w:r>
    </w:p>
  </w:footnote>
  <w:footnote w:type="continuationSeparator" w:id="0">
    <w:p w:rsidR="00E35299" w:rsidRDefault="00E35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C900B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900B7" w:rsidRDefault="00E3529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Совета Евразийской экономической комиссии от 02.07.2013 N 41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26.09.2025)</w:t>
          </w:r>
          <w:r>
            <w:rPr>
              <w:rFonts w:ascii="Tahoma" w:hAnsi="Tahoma" w:cs="Tahoma"/>
              <w:sz w:val="16"/>
              <w:szCs w:val="16"/>
            </w:rPr>
            <w:br/>
            <w:t>"О техническом регламенте Тамо...</w:t>
          </w:r>
        </w:p>
      </w:tc>
      <w:tc>
        <w:tcPr>
          <w:tcW w:w="2300" w:type="pct"/>
          <w:vAlign w:val="center"/>
        </w:tcPr>
        <w:p w:rsidR="00C900B7" w:rsidRDefault="00E3529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:rsidR="00C900B7" w:rsidRDefault="00C900B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900B7" w:rsidRDefault="00C900B7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C900B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900B7" w:rsidRDefault="00E3529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Совета Евразийской </w:t>
          </w:r>
          <w:r>
            <w:rPr>
              <w:rFonts w:ascii="Tahoma" w:hAnsi="Tahoma" w:cs="Tahoma"/>
              <w:sz w:val="16"/>
              <w:szCs w:val="16"/>
            </w:rPr>
            <w:t>экономической комиссии от 02.07.2013 N 41</w:t>
          </w:r>
          <w:r>
            <w:rPr>
              <w:rFonts w:ascii="Tahoma" w:hAnsi="Tahoma" w:cs="Tahoma"/>
              <w:sz w:val="16"/>
              <w:szCs w:val="16"/>
            </w:rPr>
            <w:br/>
            <w:t>(ред. от 26.09.2025)</w:t>
          </w:r>
          <w:r>
            <w:rPr>
              <w:rFonts w:ascii="Tahoma" w:hAnsi="Tahoma" w:cs="Tahoma"/>
              <w:sz w:val="16"/>
              <w:szCs w:val="16"/>
            </w:rPr>
            <w:br/>
            <w:t>"О техническом регламенте Тамо...</w:t>
          </w:r>
        </w:p>
      </w:tc>
      <w:tc>
        <w:tcPr>
          <w:tcW w:w="2300" w:type="pct"/>
          <w:vAlign w:val="center"/>
        </w:tcPr>
        <w:p w:rsidR="00C900B7" w:rsidRDefault="00E3529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:rsidR="00C900B7" w:rsidRDefault="00C900B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900B7" w:rsidRDefault="00C900B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0B7"/>
    <w:rsid w:val="009E36FA"/>
    <w:rsid w:val="00C900B7"/>
    <w:rsid w:val="00E3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8443FC-43EE-4EC9-B7A6-A71D5AF6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44388&amp;date=13.10.2026&amp;dst=100014&amp;field=134" TargetMode="External"/><Relationship Id="rId21" Type="http://schemas.openxmlformats.org/officeDocument/2006/relationships/hyperlink" Target="https://login.consultant.ru/link/?req=doc&amp;base=LAW&amp;n=384864&amp;date=13.10.2026&amp;dst=100021&amp;field=134" TargetMode="External"/><Relationship Id="rId42" Type="http://schemas.openxmlformats.org/officeDocument/2006/relationships/hyperlink" Target="https://login.consultant.ru/link/?req=doc&amp;base=LAW&amp;n=438496&amp;date=13.10.2026&amp;dst=100020&amp;field=134" TargetMode="External"/><Relationship Id="rId63" Type="http://schemas.openxmlformats.org/officeDocument/2006/relationships/hyperlink" Target="https://login.consultant.ru/link/?req=doc&amp;base=LAW&amp;n=384864&amp;date=13.10.2026&amp;dst=100075&amp;field=134" TargetMode="External"/><Relationship Id="rId84" Type="http://schemas.openxmlformats.org/officeDocument/2006/relationships/hyperlink" Target="https://login.consultant.ru/link/?req=doc&amp;base=LAW&amp;n=384864&amp;date=13.10.2026&amp;dst=100105&amp;field=134" TargetMode="External"/><Relationship Id="rId138" Type="http://schemas.openxmlformats.org/officeDocument/2006/relationships/hyperlink" Target="https://login.consultant.ru/link/?req=doc&amp;base=LAW&amp;n=384864&amp;date=13.10.2026&amp;dst=100424&amp;field=134" TargetMode="External"/><Relationship Id="rId159" Type="http://schemas.openxmlformats.org/officeDocument/2006/relationships/image" Target="media/image17.wmf"/><Relationship Id="rId170" Type="http://schemas.openxmlformats.org/officeDocument/2006/relationships/hyperlink" Target="https://login.consultant.ru/link/?req=doc&amp;base=LAW&amp;n=384864&amp;date=13.10.2026&amp;dst=100449&amp;field=134" TargetMode="External"/><Relationship Id="rId191" Type="http://schemas.openxmlformats.org/officeDocument/2006/relationships/theme" Target="theme/theme1.xml"/><Relationship Id="rId107" Type="http://schemas.openxmlformats.org/officeDocument/2006/relationships/hyperlink" Target="https://login.consultant.ru/link/?req=doc&amp;base=LAW&amp;n=384864&amp;date=13.10.2026&amp;dst=100140&amp;field=134" TargetMode="External"/><Relationship Id="rId11" Type="http://schemas.openxmlformats.org/officeDocument/2006/relationships/hyperlink" Target="https://login.consultant.ru/link/?req=doc&amp;base=LAW&amp;n=522319&amp;date=13.10.2026&amp;dst=100033&amp;field=134" TargetMode="External"/><Relationship Id="rId32" Type="http://schemas.openxmlformats.org/officeDocument/2006/relationships/hyperlink" Target="https://login.consultant.ru/link/?req=doc&amp;base=LAW&amp;n=384864&amp;date=13.10.2026&amp;dst=100033&amp;field=134" TargetMode="External"/><Relationship Id="rId53" Type="http://schemas.openxmlformats.org/officeDocument/2006/relationships/hyperlink" Target="https://login.consultant.ru/link/?req=doc&amp;base=LAW&amp;n=384864&amp;date=13.10.2026&amp;dst=100059&amp;field=134" TargetMode="External"/><Relationship Id="rId74" Type="http://schemas.openxmlformats.org/officeDocument/2006/relationships/hyperlink" Target="https://login.consultant.ru/link/?req=doc&amp;base=LAW&amp;n=384864&amp;date=13.10.2026&amp;dst=100088&amp;field=134" TargetMode="External"/><Relationship Id="rId128" Type="http://schemas.openxmlformats.org/officeDocument/2006/relationships/hyperlink" Target="https://login.consultant.ru/link/?req=doc&amp;base=LAW&amp;n=384864&amp;date=13.10.2026&amp;dst=100405&amp;field=134" TargetMode="External"/><Relationship Id="rId149" Type="http://schemas.openxmlformats.org/officeDocument/2006/relationships/hyperlink" Target="https://login.consultant.ru/link/?req=doc&amp;base=LAW&amp;n=384864&amp;date=13.10.2026&amp;dst=100422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384864&amp;date=13.10.2026&amp;dst=100125&amp;field=134" TargetMode="External"/><Relationship Id="rId160" Type="http://schemas.openxmlformats.org/officeDocument/2006/relationships/hyperlink" Target="https://login.consultant.ru/link/?req=doc&amp;base=LAW&amp;n=384864&amp;date=13.10.2026&amp;dst=100431&amp;field=134" TargetMode="External"/><Relationship Id="rId181" Type="http://schemas.openxmlformats.org/officeDocument/2006/relationships/hyperlink" Target="https://login.consultant.ru/link/?req=doc&amp;base=LAW&amp;n=384864&amp;date=13.10.2026&amp;dst=100467&amp;field=134" TargetMode="External"/><Relationship Id="rId22" Type="http://schemas.openxmlformats.org/officeDocument/2006/relationships/hyperlink" Target="https://login.consultant.ru/link/?req=doc&amp;base=LAW&amp;n=384864&amp;date=13.10.2026&amp;dst=100024&amp;field=134" TargetMode="External"/><Relationship Id="rId43" Type="http://schemas.openxmlformats.org/officeDocument/2006/relationships/hyperlink" Target="https://login.consultant.ru/link/?req=doc&amp;base=LAW&amp;n=384864&amp;date=13.10.2026&amp;dst=100044&amp;field=134" TargetMode="External"/><Relationship Id="rId64" Type="http://schemas.openxmlformats.org/officeDocument/2006/relationships/hyperlink" Target="https://login.consultant.ru/link/?req=doc&amp;base=LAW&amp;n=384864&amp;date=13.10.2026&amp;dst=100076&amp;field=134" TargetMode="External"/><Relationship Id="rId118" Type="http://schemas.openxmlformats.org/officeDocument/2006/relationships/hyperlink" Target="https://login.consultant.ru/link/?req=doc&amp;base=LAW&amp;n=444388&amp;date=13.10.2026&amp;dst=100028&amp;field=134" TargetMode="External"/><Relationship Id="rId139" Type="http://schemas.openxmlformats.org/officeDocument/2006/relationships/image" Target="media/image2.wmf"/><Relationship Id="rId85" Type="http://schemas.openxmlformats.org/officeDocument/2006/relationships/hyperlink" Target="https://login.consultant.ru/link/?req=doc&amp;base=LAW&amp;n=384864&amp;date=13.10.2026&amp;dst=100106&amp;field=134" TargetMode="External"/><Relationship Id="rId150" Type="http://schemas.openxmlformats.org/officeDocument/2006/relationships/image" Target="media/image9.wmf"/><Relationship Id="rId171" Type="http://schemas.openxmlformats.org/officeDocument/2006/relationships/hyperlink" Target="https://login.consultant.ru/link/?req=doc&amp;base=LAW&amp;n=384864&amp;date=13.10.2026&amp;dst=100450&amp;field=134" TargetMode="External"/><Relationship Id="rId12" Type="http://schemas.openxmlformats.org/officeDocument/2006/relationships/hyperlink" Target="https://login.consultant.ru/link/?req=doc&amp;base=LAW&amp;n=121990&amp;date=13.10.2026&amp;dst=100021&amp;field=134" TargetMode="External"/><Relationship Id="rId33" Type="http://schemas.openxmlformats.org/officeDocument/2006/relationships/hyperlink" Target="https://login.consultant.ru/link/?req=doc&amp;base=LAW&amp;n=384864&amp;date=13.10.2026&amp;dst=100035&amp;field=134" TargetMode="External"/><Relationship Id="rId108" Type="http://schemas.openxmlformats.org/officeDocument/2006/relationships/hyperlink" Target="https://login.consultant.ru/link/?req=doc&amp;base=LAW&amp;n=384864&amp;date=13.10.2026&amp;dst=100141&amp;field=134" TargetMode="External"/><Relationship Id="rId129" Type="http://schemas.openxmlformats.org/officeDocument/2006/relationships/hyperlink" Target="https://login.consultant.ru/link/?req=doc&amp;base=LAW&amp;n=384864&amp;date=13.10.2026&amp;dst=100407&amp;field=134" TargetMode="External"/><Relationship Id="rId54" Type="http://schemas.openxmlformats.org/officeDocument/2006/relationships/hyperlink" Target="https://login.consultant.ru/link/?req=doc&amp;base=LAW&amp;n=384864&amp;date=13.10.2026&amp;dst=100060&amp;field=134" TargetMode="External"/><Relationship Id="rId75" Type="http://schemas.openxmlformats.org/officeDocument/2006/relationships/hyperlink" Target="https://login.consultant.ru/link/?req=doc&amp;base=LAW&amp;n=384864&amp;date=13.10.2026&amp;dst=100090&amp;field=134" TargetMode="External"/><Relationship Id="rId96" Type="http://schemas.openxmlformats.org/officeDocument/2006/relationships/hyperlink" Target="https://login.consultant.ru/link/?req=doc&amp;base=LAW&amp;n=384864&amp;date=13.10.2026&amp;dst=100126&amp;field=134" TargetMode="External"/><Relationship Id="rId140" Type="http://schemas.openxmlformats.org/officeDocument/2006/relationships/image" Target="media/image3.wmf"/><Relationship Id="rId161" Type="http://schemas.openxmlformats.org/officeDocument/2006/relationships/image" Target="media/image18.wmf"/><Relationship Id="rId182" Type="http://schemas.openxmlformats.org/officeDocument/2006/relationships/hyperlink" Target="https://login.consultant.ru/link/?req=doc&amp;base=LAW&amp;n=384864&amp;date=13.10.2026&amp;dst=100469&amp;field=134" TargetMode="External"/><Relationship Id="rId6" Type="http://schemas.openxmlformats.org/officeDocument/2006/relationships/image" Target="media/image1.png"/><Relationship Id="rId23" Type="http://schemas.openxmlformats.org/officeDocument/2006/relationships/hyperlink" Target="https://login.consultant.ru/link/?req=doc&amp;base=LAW&amp;n=384864&amp;date=13.10.2026&amp;dst=100021&amp;field=134" TargetMode="External"/><Relationship Id="rId119" Type="http://schemas.openxmlformats.org/officeDocument/2006/relationships/hyperlink" Target="https://login.consultant.ru/link/?req=doc&amp;base=LAW&amp;n=197468&amp;date=13.10.2026&amp;dst=100012&amp;field=134" TargetMode="External"/><Relationship Id="rId44" Type="http://schemas.openxmlformats.org/officeDocument/2006/relationships/hyperlink" Target="https://login.consultant.ru/link/?req=doc&amp;base=LAW&amp;n=384864&amp;date=13.10.2026&amp;dst=100046&amp;field=134" TargetMode="External"/><Relationship Id="rId65" Type="http://schemas.openxmlformats.org/officeDocument/2006/relationships/hyperlink" Target="https://login.consultant.ru/link/?req=doc&amp;base=LAW&amp;n=384864&amp;date=13.10.2026&amp;dst=100077&amp;field=134" TargetMode="External"/><Relationship Id="rId86" Type="http://schemas.openxmlformats.org/officeDocument/2006/relationships/hyperlink" Target="https://login.consultant.ru/link/?req=doc&amp;base=LAW&amp;n=384864&amp;date=13.10.2026&amp;dst=100108&amp;field=134" TargetMode="External"/><Relationship Id="rId130" Type="http://schemas.openxmlformats.org/officeDocument/2006/relationships/hyperlink" Target="https://login.consultant.ru/link/?req=doc&amp;base=LAW&amp;n=384864&amp;date=13.10.2026&amp;dst=100409&amp;field=134" TargetMode="External"/><Relationship Id="rId151" Type="http://schemas.openxmlformats.org/officeDocument/2006/relationships/image" Target="media/image10.wmf"/><Relationship Id="rId172" Type="http://schemas.openxmlformats.org/officeDocument/2006/relationships/hyperlink" Target="https://login.consultant.ru/link/?req=doc&amp;base=LAW&amp;n=384864&amp;date=13.10.2026&amp;dst=100451&amp;field=134" TargetMode="External"/><Relationship Id="rId13" Type="http://schemas.openxmlformats.org/officeDocument/2006/relationships/hyperlink" Target="https://login.consultant.ru/link/?req=doc&amp;base=LAW&amp;n=522319&amp;date=13.10.2026&amp;dst=100033&amp;field=134" TargetMode="External"/><Relationship Id="rId18" Type="http://schemas.openxmlformats.org/officeDocument/2006/relationships/hyperlink" Target="https://login.consultant.ru/link/?req=doc&amp;base=LAW&amp;n=384864&amp;date=13.10.2026&amp;dst=100019&amp;field=134" TargetMode="External"/><Relationship Id="rId39" Type="http://schemas.openxmlformats.org/officeDocument/2006/relationships/hyperlink" Target="https://login.consultant.ru/link/?req=doc&amp;base=LAW&amp;n=463113&amp;date=13.10.2026&amp;dst=100201&amp;field=134" TargetMode="External"/><Relationship Id="rId109" Type="http://schemas.openxmlformats.org/officeDocument/2006/relationships/hyperlink" Target="https://login.consultant.ru/link/?req=doc&amp;base=LAW&amp;n=384864&amp;date=13.10.2026&amp;dst=100141&amp;field=134" TargetMode="External"/><Relationship Id="rId34" Type="http://schemas.openxmlformats.org/officeDocument/2006/relationships/hyperlink" Target="https://login.consultant.ru/link/?req=doc&amp;base=LAW&amp;n=384864&amp;date=13.10.2026&amp;dst=100036&amp;field=134" TargetMode="External"/><Relationship Id="rId50" Type="http://schemas.openxmlformats.org/officeDocument/2006/relationships/hyperlink" Target="https://login.consultant.ru/link/?req=doc&amp;base=LAW&amp;n=384864&amp;date=13.10.2026&amp;dst=100055&amp;field=134" TargetMode="External"/><Relationship Id="rId55" Type="http://schemas.openxmlformats.org/officeDocument/2006/relationships/hyperlink" Target="https://login.consultant.ru/link/?req=doc&amp;base=LAW&amp;n=384864&amp;date=13.10.2026&amp;dst=100062&amp;field=134" TargetMode="External"/><Relationship Id="rId76" Type="http://schemas.openxmlformats.org/officeDocument/2006/relationships/hyperlink" Target="https://login.consultant.ru/link/?req=doc&amp;base=LAW&amp;n=384864&amp;date=13.10.2026&amp;dst=100091&amp;field=134" TargetMode="External"/><Relationship Id="rId97" Type="http://schemas.openxmlformats.org/officeDocument/2006/relationships/hyperlink" Target="https://login.consultant.ru/link/?req=doc&amp;base=LAW&amp;n=384864&amp;date=13.10.2026&amp;dst=100128&amp;field=134" TargetMode="External"/><Relationship Id="rId104" Type="http://schemas.openxmlformats.org/officeDocument/2006/relationships/hyperlink" Target="https://login.consultant.ru/link/?req=doc&amp;base=LAW&amp;n=384864&amp;date=13.10.2026&amp;dst=100139&amp;field=134" TargetMode="External"/><Relationship Id="rId120" Type="http://schemas.openxmlformats.org/officeDocument/2006/relationships/hyperlink" Target="https://login.consultant.ru/link/?req=doc&amp;base=LAW&amp;n=384864&amp;date=13.10.2026&amp;dst=100147&amp;field=134" TargetMode="External"/><Relationship Id="rId125" Type="http://schemas.openxmlformats.org/officeDocument/2006/relationships/hyperlink" Target="https://login.consultant.ru/link/?req=doc&amp;base=LAW&amp;n=384864&amp;date=13.10.2026&amp;dst=100150&amp;field=134" TargetMode="External"/><Relationship Id="rId141" Type="http://schemas.openxmlformats.org/officeDocument/2006/relationships/image" Target="media/image4.wmf"/><Relationship Id="rId146" Type="http://schemas.openxmlformats.org/officeDocument/2006/relationships/image" Target="media/image7.wmf"/><Relationship Id="rId167" Type="http://schemas.openxmlformats.org/officeDocument/2006/relationships/hyperlink" Target="https://login.consultant.ru/link/?req=doc&amp;base=LAW&amp;n=384864&amp;date=13.10.2026&amp;dst=100441&amp;field=134" TargetMode="External"/><Relationship Id="rId188" Type="http://schemas.openxmlformats.org/officeDocument/2006/relationships/header" Target="header2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384864&amp;date=13.10.2026&amp;dst=100085&amp;field=134" TargetMode="External"/><Relationship Id="rId92" Type="http://schemas.openxmlformats.org/officeDocument/2006/relationships/hyperlink" Target="https://login.consultant.ru/link/?req=doc&amp;base=LAW&amp;n=384864&amp;date=13.10.2026&amp;dst=100119&amp;field=134" TargetMode="External"/><Relationship Id="rId162" Type="http://schemas.openxmlformats.org/officeDocument/2006/relationships/image" Target="media/image19.wmf"/><Relationship Id="rId183" Type="http://schemas.openxmlformats.org/officeDocument/2006/relationships/image" Target="media/image20.wmf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384864&amp;date=13.10.2026&amp;dst=100026&amp;field=134" TargetMode="External"/><Relationship Id="rId24" Type="http://schemas.openxmlformats.org/officeDocument/2006/relationships/hyperlink" Target="https://login.consultant.ru/link/?req=doc&amp;base=LAW&amp;n=384864&amp;date=13.10.2026&amp;dst=100021&amp;field=134" TargetMode="External"/><Relationship Id="rId40" Type="http://schemas.openxmlformats.org/officeDocument/2006/relationships/hyperlink" Target="https://login.consultant.ru/link/?req=doc&amp;base=LAW&amp;n=384864&amp;date=13.10.2026&amp;dst=100042&amp;field=134" TargetMode="External"/><Relationship Id="rId45" Type="http://schemas.openxmlformats.org/officeDocument/2006/relationships/hyperlink" Target="https://login.consultant.ru/link/?req=doc&amp;base=LAW&amp;n=384864&amp;date=13.10.2026&amp;dst=100048&amp;field=134" TargetMode="External"/><Relationship Id="rId66" Type="http://schemas.openxmlformats.org/officeDocument/2006/relationships/hyperlink" Target="https://login.consultant.ru/link/?req=doc&amp;base=LAW&amp;n=384864&amp;date=13.10.2026&amp;dst=100078&amp;field=134" TargetMode="External"/><Relationship Id="rId87" Type="http://schemas.openxmlformats.org/officeDocument/2006/relationships/hyperlink" Target="https://login.consultant.ru/link/?req=doc&amp;base=LAW&amp;n=384864&amp;date=13.10.2026&amp;dst=100110&amp;field=134" TargetMode="External"/><Relationship Id="rId110" Type="http://schemas.openxmlformats.org/officeDocument/2006/relationships/hyperlink" Target="https://login.consultant.ru/link/?req=doc&amp;base=LAW&amp;n=384864&amp;date=13.10.2026&amp;dst=100142&amp;field=134" TargetMode="External"/><Relationship Id="rId115" Type="http://schemas.openxmlformats.org/officeDocument/2006/relationships/hyperlink" Target="https://login.consultant.ru/link/?req=doc&amp;base=LAW&amp;n=444388&amp;date=13.10.2026&amp;dst=100079&amp;field=134" TargetMode="External"/><Relationship Id="rId131" Type="http://schemas.openxmlformats.org/officeDocument/2006/relationships/hyperlink" Target="https://login.consultant.ru/link/?req=doc&amp;base=LAW&amp;n=384864&amp;date=13.10.2026&amp;dst=100411&amp;field=134" TargetMode="External"/><Relationship Id="rId136" Type="http://schemas.openxmlformats.org/officeDocument/2006/relationships/hyperlink" Target="https://login.consultant.ru/link/?req=doc&amp;base=LAW&amp;n=384864&amp;date=13.10.2026&amp;dst=100419&amp;field=134" TargetMode="External"/><Relationship Id="rId157" Type="http://schemas.openxmlformats.org/officeDocument/2006/relationships/image" Target="media/image16.wmf"/><Relationship Id="rId178" Type="http://schemas.openxmlformats.org/officeDocument/2006/relationships/hyperlink" Target="https://login.consultant.ru/link/?req=doc&amp;base=LAW&amp;n=384864&amp;date=13.10.2026&amp;dst=100460&amp;field=134" TargetMode="External"/><Relationship Id="rId61" Type="http://schemas.openxmlformats.org/officeDocument/2006/relationships/hyperlink" Target="https://login.consultant.ru/link/?req=doc&amp;base=LAW&amp;n=384864&amp;date=13.10.2026&amp;dst=100072&amp;field=134" TargetMode="External"/><Relationship Id="rId82" Type="http://schemas.openxmlformats.org/officeDocument/2006/relationships/hyperlink" Target="https://login.consultant.ru/link/?req=doc&amp;base=LAW&amp;n=384864&amp;date=13.10.2026&amp;dst=100100&amp;field=134" TargetMode="External"/><Relationship Id="rId152" Type="http://schemas.openxmlformats.org/officeDocument/2006/relationships/image" Target="media/image11.wmf"/><Relationship Id="rId173" Type="http://schemas.openxmlformats.org/officeDocument/2006/relationships/hyperlink" Target="https://login.consultant.ru/link/?req=doc&amp;base=LAW&amp;n=384864&amp;date=13.10.2026&amp;dst=100453&amp;field=134" TargetMode="External"/><Relationship Id="rId19" Type="http://schemas.openxmlformats.org/officeDocument/2006/relationships/hyperlink" Target="https://login.consultant.ru/link/?req=doc&amp;base=LAW&amp;n=384864&amp;date=13.10.2026&amp;dst=100022&amp;field=134" TargetMode="External"/><Relationship Id="rId14" Type="http://schemas.openxmlformats.org/officeDocument/2006/relationships/hyperlink" Target="https://login.consultant.ru/link/?req=doc&amp;base=LAW&amp;n=384864&amp;date=13.10.2026&amp;dst=100005&amp;field=134" TargetMode="External"/><Relationship Id="rId30" Type="http://schemas.openxmlformats.org/officeDocument/2006/relationships/hyperlink" Target="https://login.consultant.ru/link/?req=doc&amp;base=LAW&amp;n=384864&amp;date=13.10.2026&amp;dst=100029&amp;field=134" TargetMode="External"/><Relationship Id="rId35" Type="http://schemas.openxmlformats.org/officeDocument/2006/relationships/hyperlink" Target="https://login.consultant.ru/link/?req=doc&amp;base=LAW&amp;n=384864&amp;date=13.10.2026&amp;dst=100037&amp;field=134" TargetMode="External"/><Relationship Id="rId56" Type="http://schemas.openxmlformats.org/officeDocument/2006/relationships/hyperlink" Target="https://login.consultant.ru/link/?req=doc&amp;base=LAW&amp;n=384864&amp;date=13.10.2026&amp;dst=100064&amp;field=134" TargetMode="External"/><Relationship Id="rId77" Type="http://schemas.openxmlformats.org/officeDocument/2006/relationships/hyperlink" Target="https://login.consultant.ru/link/?req=doc&amp;base=LAW&amp;n=384864&amp;date=13.10.2026&amp;dst=100092&amp;field=134" TargetMode="External"/><Relationship Id="rId100" Type="http://schemas.openxmlformats.org/officeDocument/2006/relationships/hyperlink" Target="https://login.consultant.ru/link/?req=doc&amp;base=LAW&amp;n=384864&amp;date=13.10.2026&amp;dst=100134&amp;field=134" TargetMode="External"/><Relationship Id="rId105" Type="http://schemas.openxmlformats.org/officeDocument/2006/relationships/hyperlink" Target="https://login.consultant.ru/link/?req=doc&amp;base=LAW&amp;n=326837&amp;date=13.10.2026&amp;dst=100012&amp;field=134" TargetMode="External"/><Relationship Id="rId126" Type="http://schemas.openxmlformats.org/officeDocument/2006/relationships/hyperlink" Target="https://login.consultant.ru/link/?req=doc&amp;base=LAW&amp;n=384864&amp;date=13.10.2026&amp;dst=100151&amp;field=134" TargetMode="External"/><Relationship Id="rId147" Type="http://schemas.openxmlformats.org/officeDocument/2006/relationships/hyperlink" Target="https://login.consultant.ru/link/?req=doc&amp;base=LAW&amp;n=384864&amp;date=13.10.2026&amp;dst=100422&amp;field=134" TargetMode="External"/><Relationship Id="rId168" Type="http://schemas.openxmlformats.org/officeDocument/2006/relationships/hyperlink" Target="https://login.consultant.ru/link/?req=doc&amp;base=LAW&amp;n=384864&amp;date=13.10.2026&amp;dst=100443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384864&amp;date=13.10.2026&amp;dst=100056&amp;field=134" TargetMode="External"/><Relationship Id="rId72" Type="http://schemas.openxmlformats.org/officeDocument/2006/relationships/hyperlink" Target="https://login.consultant.ru/link/?req=doc&amp;base=LAW&amp;n=384864&amp;date=13.10.2026&amp;dst=100086&amp;field=134" TargetMode="External"/><Relationship Id="rId93" Type="http://schemas.openxmlformats.org/officeDocument/2006/relationships/hyperlink" Target="https://login.consultant.ru/link/?req=doc&amp;base=LAW&amp;n=384864&amp;date=13.10.2026&amp;dst=100121&amp;field=134" TargetMode="External"/><Relationship Id="rId98" Type="http://schemas.openxmlformats.org/officeDocument/2006/relationships/hyperlink" Target="https://login.consultant.ru/link/?req=doc&amp;base=LAW&amp;n=384864&amp;date=13.10.2026&amp;dst=100131&amp;field=134" TargetMode="External"/><Relationship Id="rId121" Type="http://schemas.openxmlformats.org/officeDocument/2006/relationships/hyperlink" Target="https://login.consultant.ru/link/?req=doc&amp;base=LAW&amp;n=384864&amp;date=13.10.2026&amp;dst=100147&amp;field=134" TargetMode="External"/><Relationship Id="rId142" Type="http://schemas.openxmlformats.org/officeDocument/2006/relationships/hyperlink" Target="https://login.consultant.ru/link/?req=doc&amp;base=LAW&amp;n=384864&amp;date=13.10.2026&amp;dst=100422&amp;field=134" TargetMode="External"/><Relationship Id="rId163" Type="http://schemas.openxmlformats.org/officeDocument/2006/relationships/hyperlink" Target="https://login.consultant.ru/link/?req=doc&amp;base=LAW&amp;n=384864&amp;date=13.10.2026&amp;dst=100433&amp;field=134" TargetMode="External"/><Relationship Id="rId184" Type="http://schemas.openxmlformats.org/officeDocument/2006/relationships/hyperlink" Target="https://login.consultant.ru/link/?req=doc&amp;base=LAW&amp;n=384864&amp;date=13.10.2026&amp;dst=100470&amp;field=134" TargetMode="External"/><Relationship Id="rId189" Type="http://schemas.openxmlformats.org/officeDocument/2006/relationships/footer" Target="footer2.xm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384864&amp;date=13.10.2026&amp;dst=100021&amp;field=134" TargetMode="External"/><Relationship Id="rId46" Type="http://schemas.openxmlformats.org/officeDocument/2006/relationships/hyperlink" Target="https://login.consultant.ru/link/?req=doc&amp;base=LAW&amp;n=384864&amp;date=13.10.2026&amp;dst=100049&amp;field=134" TargetMode="External"/><Relationship Id="rId67" Type="http://schemas.openxmlformats.org/officeDocument/2006/relationships/hyperlink" Target="https://login.consultant.ru/link/?req=doc&amp;base=LAW&amp;n=384864&amp;date=13.10.2026&amp;dst=100080&amp;field=134" TargetMode="External"/><Relationship Id="rId116" Type="http://schemas.openxmlformats.org/officeDocument/2006/relationships/hyperlink" Target="https://login.consultant.ru/link/?req=doc&amp;base=LAW&amp;n=493774&amp;date=13.10.2026&amp;dst=100011&amp;field=134" TargetMode="External"/><Relationship Id="rId137" Type="http://schemas.openxmlformats.org/officeDocument/2006/relationships/hyperlink" Target="https://login.consultant.ru/link/?req=doc&amp;base=LAW&amp;n=384864&amp;date=13.10.2026&amp;dst=100421&amp;field=134" TargetMode="External"/><Relationship Id="rId158" Type="http://schemas.openxmlformats.org/officeDocument/2006/relationships/hyperlink" Target="https://login.consultant.ru/link/?req=doc&amp;base=LAW&amp;n=384864&amp;date=13.10.2026&amp;dst=100426&amp;field=134" TargetMode="External"/><Relationship Id="rId20" Type="http://schemas.openxmlformats.org/officeDocument/2006/relationships/hyperlink" Target="https://login.consultant.ru/link/?req=doc&amp;base=LAW&amp;n=384864&amp;date=13.10.2026&amp;dst=100021&amp;field=134" TargetMode="External"/><Relationship Id="rId41" Type="http://schemas.openxmlformats.org/officeDocument/2006/relationships/hyperlink" Target="https://login.consultant.ru/link/?req=doc&amp;base=LAW&amp;n=476082&amp;date=13.10.2026&amp;dst=102968&amp;field=134" TargetMode="External"/><Relationship Id="rId62" Type="http://schemas.openxmlformats.org/officeDocument/2006/relationships/hyperlink" Target="https://login.consultant.ru/link/?req=doc&amp;base=LAW&amp;n=384864&amp;date=13.10.2026&amp;dst=100074&amp;field=134" TargetMode="External"/><Relationship Id="rId83" Type="http://schemas.openxmlformats.org/officeDocument/2006/relationships/hyperlink" Target="https://login.consultant.ru/link/?req=doc&amp;base=LAW&amp;n=384864&amp;date=13.10.2026&amp;dst=100103&amp;field=134" TargetMode="External"/><Relationship Id="rId88" Type="http://schemas.openxmlformats.org/officeDocument/2006/relationships/hyperlink" Target="https://login.consultant.ru/link/?req=doc&amp;base=LAW&amp;n=384864&amp;date=13.10.2026&amp;dst=100111&amp;field=134" TargetMode="External"/><Relationship Id="rId111" Type="http://schemas.openxmlformats.org/officeDocument/2006/relationships/hyperlink" Target="https://login.consultant.ru/link/?req=doc&amp;base=LAW&amp;n=384864&amp;date=13.10.2026&amp;dst=100145&amp;field=134" TargetMode="External"/><Relationship Id="rId132" Type="http://schemas.openxmlformats.org/officeDocument/2006/relationships/hyperlink" Target="https://login.consultant.ru/link/?req=doc&amp;base=LAW&amp;n=384864&amp;date=13.10.2026&amp;dst=100412&amp;field=134" TargetMode="External"/><Relationship Id="rId153" Type="http://schemas.openxmlformats.org/officeDocument/2006/relationships/image" Target="media/image12.wmf"/><Relationship Id="rId174" Type="http://schemas.openxmlformats.org/officeDocument/2006/relationships/hyperlink" Target="https://login.consultant.ru/link/?req=doc&amp;base=LAW&amp;n=384864&amp;date=13.10.2026&amp;dst=100454&amp;field=134" TargetMode="External"/><Relationship Id="rId179" Type="http://schemas.openxmlformats.org/officeDocument/2006/relationships/hyperlink" Target="https://login.consultant.ru/link/?req=doc&amp;base=LAW&amp;n=384864&amp;date=13.10.2026&amp;dst=100463&amp;field=134" TargetMode="External"/><Relationship Id="rId190" Type="http://schemas.openxmlformats.org/officeDocument/2006/relationships/fontTable" Target="fontTable.xml"/><Relationship Id="rId15" Type="http://schemas.openxmlformats.org/officeDocument/2006/relationships/hyperlink" Target="https://login.consultant.ru/link/?req=doc&amp;base=LAW&amp;n=463113&amp;date=13.10.2026&amp;dst=100201&amp;field=134" TargetMode="External"/><Relationship Id="rId36" Type="http://schemas.openxmlformats.org/officeDocument/2006/relationships/hyperlink" Target="https://login.consultant.ru/link/?req=doc&amp;base=LAW&amp;n=384864&amp;date=13.10.2026&amp;dst=100038&amp;field=134" TargetMode="External"/><Relationship Id="rId57" Type="http://schemas.openxmlformats.org/officeDocument/2006/relationships/hyperlink" Target="https://login.consultant.ru/link/?req=doc&amp;base=LAW&amp;n=384864&amp;date=13.10.2026&amp;dst=100065&amp;field=134" TargetMode="External"/><Relationship Id="rId106" Type="http://schemas.openxmlformats.org/officeDocument/2006/relationships/hyperlink" Target="https://login.consultant.ru/link/?req=doc&amp;base=LAW&amp;n=326837&amp;date=13.10.2026&amp;dst=100486&amp;field=134" TargetMode="External"/><Relationship Id="rId127" Type="http://schemas.openxmlformats.org/officeDocument/2006/relationships/hyperlink" Target="https://login.consultant.ru/link/?req=doc&amp;base=LAW&amp;n=384864&amp;date=13.10.2026&amp;dst=100404&amp;field=134" TargetMode="External"/><Relationship Id="rId10" Type="http://schemas.openxmlformats.org/officeDocument/2006/relationships/hyperlink" Target="https://login.consultant.ru/link/?req=doc&amp;base=LAW&amp;n=463113&amp;date=13.10.2026&amp;dst=100201&amp;field=134" TargetMode="External"/><Relationship Id="rId31" Type="http://schemas.openxmlformats.org/officeDocument/2006/relationships/hyperlink" Target="https://login.consultant.ru/link/?req=doc&amp;base=LAW&amp;n=384864&amp;date=13.10.2026&amp;dst=100031&amp;field=134" TargetMode="External"/><Relationship Id="rId52" Type="http://schemas.openxmlformats.org/officeDocument/2006/relationships/hyperlink" Target="https://login.consultant.ru/link/?req=doc&amp;base=LAW&amp;n=384864&amp;date=13.10.2026&amp;dst=100058&amp;field=134" TargetMode="External"/><Relationship Id="rId73" Type="http://schemas.openxmlformats.org/officeDocument/2006/relationships/hyperlink" Target="https://login.consultant.ru/link/?req=doc&amp;base=LAW&amp;n=384864&amp;date=13.10.2026&amp;dst=100087&amp;field=134" TargetMode="External"/><Relationship Id="rId78" Type="http://schemas.openxmlformats.org/officeDocument/2006/relationships/hyperlink" Target="https://login.consultant.ru/link/?req=doc&amp;base=LAW&amp;n=384864&amp;date=13.10.2026&amp;dst=100094&amp;field=134" TargetMode="External"/><Relationship Id="rId94" Type="http://schemas.openxmlformats.org/officeDocument/2006/relationships/hyperlink" Target="https://login.consultant.ru/link/?req=doc&amp;base=LAW&amp;n=384864&amp;date=13.10.2026&amp;dst=100123&amp;field=134" TargetMode="External"/><Relationship Id="rId99" Type="http://schemas.openxmlformats.org/officeDocument/2006/relationships/hyperlink" Target="https://login.consultant.ru/link/?req=doc&amp;base=LAW&amp;n=384864&amp;date=13.10.2026&amp;dst=100133&amp;field=134" TargetMode="External"/><Relationship Id="rId101" Type="http://schemas.openxmlformats.org/officeDocument/2006/relationships/hyperlink" Target="https://login.consultant.ru/link/?req=doc&amp;base=LAW&amp;n=384864&amp;date=13.10.2026&amp;dst=100135&amp;field=134" TargetMode="External"/><Relationship Id="rId122" Type="http://schemas.openxmlformats.org/officeDocument/2006/relationships/hyperlink" Target="https://login.consultant.ru/link/?req=doc&amp;base=LAW&amp;n=384864&amp;date=13.10.2026&amp;dst=100147&amp;field=134" TargetMode="External"/><Relationship Id="rId143" Type="http://schemas.openxmlformats.org/officeDocument/2006/relationships/image" Target="media/image5.wmf"/><Relationship Id="rId148" Type="http://schemas.openxmlformats.org/officeDocument/2006/relationships/image" Target="media/image8.wmf"/><Relationship Id="rId164" Type="http://schemas.openxmlformats.org/officeDocument/2006/relationships/hyperlink" Target="https://login.consultant.ru/link/?req=doc&amp;base=LAW&amp;n=384864&amp;date=13.10.2026&amp;dst=100434&amp;field=134" TargetMode="External"/><Relationship Id="rId169" Type="http://schemas.openxmlformats.org/officeDocument/2006/relationships/hyperlink" Target="https://login.consultant.ru/link/?req=doc&amp;base=LAW&amp;n=384864&amp;date=13.10.2026&amp;dst=100447&amp;field=134" TargetMode="External"/><Relationship Id="rId185" Type="http://schemas.openxmlformats.org/officeDocument/2006/relationships/hyperlink" Target="https://login.consultant.ru/link/?req=doc&amp;base=LAW&amp;n=384864&amp;date=13.10.2026&amp;dst=10047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84864&amp;date=13.10.2026&amp;dst=100005&amp;field=134" TargetMode="External"/><Relationship Id="rId180" Type="http://schemas.openxmlformats.org/officeDocument/2006/relationships/hyperlink" Target="https://login.consultant.ru/link/?req=doc&amp;base=LAW&amp;n=384864&amp;date=13.10.2026&amp;dst=100465&amp;field=134" TargetMode="External"/><Relationship Id="rId26" Type="http://schemas.openxmlformats.org/officeDocument/2006/relationships/hyperlink" Target="https://login.consultant.ru/link/?req=doc&amp;base=LAW&amp;n=384864&amp;date=13.10.2026&amp;dst=100021&amp;field=134" TargetMode="External"/><Relationship Id="rId47" Type="http://schemas.openxmlformats.org/officeDocument/2006/relationships/hyperlink" Target="https://login.consultant.ru/link/?req=doc&amp;base=LAW&amp;n=384864&amp;date=13.10.2026&amp;dst=100050&amp;field=134" TargetMode="External"/><Relationship Id="rId68" Type="http://schemas.openxmlformats.org/officeDocument/2006/relationships/hyperlink" Target="https://login.consultant.ru/link/?req=doc&amp;base=LAW&amp;n=384864&amp;date=13.10.2026&amp;dst=100082&amp;field=134" TargetMode="External"/><Relationship Id="rId89" Type="http://schemas.openxmlformats.org/officeDocument/2006/relationships/hyperlink" Target="https://login.consultant.ru/link/?req=doc&amp;base=LAW&amp;n=384864&amp;date=13.10.2026&amp;dst=100112&amp;field=134" TargetMode="External"/><Relationship Id="rId112" Type="http://schemas.openxmlformats.org/officeDocument/2006/relationships/hyperlink" Target="https://login.consultant.ru/link/?req=doc&amp;base=LAW&amp;n=384864&amp;date=13.10.2026&amp;dst=100146&amp;field=134" TargetMode="External"/><Relationship Id="rId133" Type="http://schemas.openxmlformats.org/officeDocument/2006/relationships/hyperlink" Target="https://login.consultant.ru/link/?req=doc&amp;base=LAW&amp;n=384864&amp;date=13.10.2026&amp;dst=100414&amp;field=134" TargetMode="External"/><Relationship Id="rId154" Type="http://schemas.openxmlformats.org/officeDocument/2006/relationships/image" Target="media/image13.wmf"/><Relationship Id="rId175" Type="http://schemas.openxmlformats.org/officeDocument/2006/relationships/hyperlink" Target="https://login.consultant.ru/link/?req=doc&amp;base=LAW&amp;n=384864&amp;date=13.10.2026&amp;dst=100456&amp;field=134" TargetMode="External"/><Relationship Id="rId16" Type="http://schemas.openxmlformats.org/officeDocument/2006/relationships/hyperlink" Target="https://login.consultant.ru/link/?req=doc&amp;base=LAW&amp;n=384864&amp;date=13.10.2026&amp;dst=100016&amp;field=134" TargetMode="External"/><Relationship Id="rId37" Type="http://schemas.openxmlformats.org/officeDocument/2006/relationships/hyperlink" Target="https://login.consultant.ru/link/?req=doc&amp;base=LAW&amp;n=384864&amp;date=13.10.2026&amp;dst=100040&amp;field=134" TargetMode="External"/><Relationship Id="rId58" Type="http://schemas.openxmlformats.org/officeDocument/2006/relationships/hyperlink" Target="https://login.consultant.ru/link/?req=doc&amp;base=LAW&amp;n=384864&amp;date=13.10.2026&amp;dst=100066&amp;field=134" TargetMode="External"/><Relationship Id="rId79" Type="http://schemas.openxmlformats.org/officeDocument/2006/relationships/hyperlink" Target="https://login.consultant.ru/link/?req=doc&amp;base=LAW&amp;n=384864&amp;date=13.10.2026&amp;dst=100095&amp;field=134" TargetMode="External"/><Relationship Id="rId102" Type="http://schemas.openxmlformats.org/officeDocument/2006/relationships/hyperlink" Target="https://login.consultant.ru/link/?req=doc&amp;base=LAW&amp;n=384864&amp;date=13.10.2026&amp;dst=100136&amp;field=134" TargetMode="External"/><Relationship Id="rId123" Type="http://schemas.openxmlformats.org/officeDocument/2006/relationships/hyperlink" Target="https://login.consultant.ru/link/?req=doc&amp;base=LAW&amp;n=384864&amp;date=13.10.2026&amp;dst=100147&amp;field=134" TargetMode="External"/><Relationship Id="rId144" Type="http://schemas.openxmlformats.org/officeDocument/2006/relationships/hyperlink" Target="https://login.consultant.ru/link/?req=doc&amp;base=LAW&amp;n=384864&amp;date=13.10.2026&amp;dst=100422&amp;field=134" TargetMode="External"/><Relationship Id="rId90" Type="http://schemas.openxmlformats.org/officeDocument/2006/relationships/hyperlink" Target="https://login.consultant.ru/link/?req=doc&amp;base=LAW&amp;n=384864&amp;date=13.10.2026&amp;dst=100114&amp;field=134" TargetMode="External"/><Relationship Id="rId165" Type="http://schemas.openxmlformats.org/officeDocument/2006/relationships/hyperlink" Target="https://login.consultant.ru/link/?req=doc&amp;base=LAW&amp;n=384864&amp;date=13.10.2026&amp;dst=100436&amp;field=134" TargetMode="External"/><Relationship Id="rId186" Type="http://schemas.openxmlformats.org/officeDocument/2006/relationships/header" Target="header1.xml"/><Relationship Id="rId27" Type="http://schemas.openxmlformats.org/officeDocument/2006/relationships/hyperlink" Target="https://login.consultant.ru/link/?req=doc&amp;base=LAW&amp;n=384864&amp;date=13.10.2026&amp;dst=100021&amp;field=134" TargetMode="External"/><Relationship Id="rId48" Type="http://schemas.openxmlformats.org/officeDocument/2006/relationships/hyperlink" Target="https://login.consultant.ru/link/?req=doc&amp;base=LAW&amp;n=384864&amp;date=13.10.2026&amp;dst=100052&amp;field=134" TargetMode="External"/><Relationship Id="rId69" Type="http://schemas.openxmlformats.org/officeDocument/2006/relationships/hyperlink" Target="https://login.consultant.ru/link/?req=doc&amp;base=LAW&amp;n=384864&amp;date=13.10.2026&amp;dst=100083&amp;field=134" TargetMode="External"/><Relationship Id="rId113" Type="http://schemas.openxmlformats.org/officeDocument/2006/relationships/hyperlink" Target="https://login.consultant.ru/link/?req=doc&amp;base=LAW&amp;n=207578&amp;date=13.10.2026&amp;dst=100010&amp;field=134" TargetMode="External"/><Relationship Id="rId134" Type="http://schemas.openxmlformats.org/officeDocument/2006/relationships/hyperlink" Target="https://login.consultant.ru/link/?req=doc&amp;base=LAW&amp;n=384864&amp;date=13.10.2026&amp;dst=100416&amp;field=134" TargetMode="External"/><Relationship Id="rId80" Type="http://schemas.openxmlformats.org/officeDocument/2006/relationships/hyperlink" Target="https://login.consultant.ru/link/?req=doc&amp;base=LAW&amp;n=384864&amp;date=13.10.2026&amp;dst=100096&amp;field=134" TargetMode="External"/><Relationship Id="rId155" Type="http://schemas.openxmlformats.org/officeDocument/2006/relationships/image" Target="media/image14.wmf"/><Relationship Id="rId176" Type="http://schemas.openxmlformats.org/officeDocument/2006/relationships/hyperlink" Target="https://login.consultant.ru/link/?req=doc&amp;base=LAW&amp;n=384864&amp;date=13.10.2026&amp;dst=100458&amp;field=134" TargetMode="External"/><Relationship Id="rId17" Type="http://schemas.openxmlformats.org/officeDocument/2006/relationships/hyperlink" Target="https://login.consultant.ru/link/?req=doc&amp;base=LAW&amp;n=384864&amp;date=13.10.2026&amp;dst=100017&amp;field=134" TargetMode="External"/><Relationship Id="rId38" Type="http://schemas.openxmlformats.org/officeDocument/2006/relationships/hyperlink" Target="https://login.consultant.ru/link/?req=doc&amp;base=LAW&amp;n=384864&amp;date=13.10.2026&amp;dst=100041&amp;field=134" TargetMode="External"/><Relationship Id="rId59" Type="http://schemas.openxmlformats.org/officeDocument/2006/relationships/hyperlink" Target="https://login.consultant.ru/link/?req=doc&amp;base=LAW&amp;n=384864&amp;date=13.10.2026&amp;dst=100068&amp;field=134" TargetMode="External"/><Relationship Id="rId103" Type="http://schemas.openxmlformats.org/officeDocument/2006/relationships/hyperlink" Target="https://login.consultant.ru/link/?req=doc&amp;base=LAW&amp;n=384864&amp;date=13.10.2026&amp;dst=100138&amp;field=134" TargetMode="External"/><Relationship Id="rId124" Type="http://schemas.openxmlformats.org/officeDocument/2006/relationships/hyperlink" Target="https://login.consultant.ru/link/?req=doc&amp;base=LAW&amp;n=384864&amp;date=13.10.2026&amp;dst=100148&amp;field=134" TargetMode="External"/><Relationship Id="rId70" Type="http://schemas.openxmlformats.org/officeDocument/2006/relationships/hyperlink" Target="https://login.consultant.ru/link/?req=doc&amp;base=LAW&amp;n=384864&amp;date=13.10.2026&amp;dst=100084&amp;field=134" TargetMode="External"/><Relationship Id="rId91" Type="http://schemas.openxmlformats.org/officeDocument/2006/relationships/hyperlink" Target="https://login.consultant.ru/link/?req=doc&amp;base=LAW&amp;n=384864&amp;date=13.10.2026&amp;dst=100117&amp;field=134" TargetMode="External"/><Relationship Id="rId145" Type="http://schemas.openxmlformats.org/officeDocument/2006/relationships/image" Target="media/image6.wmf"/><Relationship Id="rId166" Type="http://schemas.openxmlformats.org/officeDocument/2006/relationships/hyperlink" Target="https://login.consultant.ru/link/?req=doc&amp;base=LAW&amp;n=384864&amp;date=13.10.2026&amp;dst=100439&amp;field=134" TargetMode="External"/><Relationship Id="rId187" Type="http://schemas.openxmlformats.org/officeDocument/2006/relationships/footer" Target="footer1.xml"/><Relationship Id="rId1" Type="http://schemas.openxmlformats.org/officeDocument/2006/relationships/styles" Target="styles.xml"/><Relationship Id="rId28" Type="http://schemas.openxmlformats.org/officeDocument/2006/relationships/hyperlink" Target="https://login.consultant.ru/link/?req=doc&amp;base=LAW&amp;n=384864&amp;date=13.10.2026&amp;dst=100021&amp;field=134" TargetMode="External"/><Relationship Id="rId49" Type="http://schemas.openxmlformats.org/officeDocument/2006/relationships/hyperlink" Target="https://login.consultant.ru/link/?req=doc&amp;base=LAW&amp;n=384864&amp;date=13.10.2026&amp;dst=100054&amp;field=134" TargetMode="External"/><Relationship Id="rId114" Type="http://schemas.openxmlformats.org/officeDocument/2006/relationships/hyperlink" Target="https://login.consultant.ru/link/?req=doc&amp;base=LAW&amp;n=444388&amp;date=13.10.2026&amp;dst=100066&amp;field=134" TargetMode="External"/><Relationship Id="rId60" Type="http://schemas.openxmlformats.org/officeDocument/2006/relationships/hyperlink" Target="https://login.consultant.ru/link/?req=doc&amp;base=LAW&amp;n=384864&amp;date=13.10.2026&amp;dst=100070&amp;field=134" TargetMode="External"/><Relationship Id="rId81" Type="http://schemas.openxmlformats.org/officeDocument/2006/relationships/hyperlink" Target="https://login.consultant.ru/link/?req=doc&amp;base=LAW&amp;n=384864&amp;date=13.10.2026&amp;dst=100099&amp;field=134" TargetMode="External"/><Relationship Id="rId135" Type="http://schemas.openxmlformats.org/officeDocument/2006/relationships/hyperlink" Target="https://login.consultant.ru/link/?req=doc&amp;base=LAW&amp;n=384864&amp;date=13.10.2026&amp;dst=100417&amp;field=134" TargetMode="External"/><Relationship Id="rId156" Type="http://schemas.openxmlformats.org/officeDocument/2006/relationships/image" Target="media/image15.wmf"/><Relationship Id="rId177" Type="http://schemas.openxmlformats.org/officeDocument/2006/relationships/hyperlink" Target="https://login.consultant.ru/link/?req=doc&amp;base=LAW&amp;n=384864&amp;date=13.10.2026&amp;dst=100459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28327</Words>
  <Characters>161467</Characters>
  <Application>Microsoft Office Word</Application>
  <DocSecurity>0</DocSecurity>
  <Lines>1345</Lines>
  <Paragraphs>378</Paragraphs>
  <ScaleCrop>false</ScaleCrop>
  <Company>КонсультантПлюс Версия 4026.00.30</Company>
  <LinksUpToDate>false</LinksUpToDate>
  <CharactersWithSpaces>189416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Евразийской экономической комиссии от 02.07.2013 N 41
(ред. от 26.09.2025)
"О техническом регламенте Таможенного союза "О безопасности оборудования, работающего под избыточным давлением"
(вместе с "ТР ТС 032/2013. Технический регламент Таможенного союза. О безопасности оборудования, работающего под избыточным давлением")</dc:title>
  <dc:creator>Коровина Софья Александровна</dc:creator>
  <cp:lastModifiedBy>Коровина Софья Александровна</cp:lastModifiedBy>
  <cp:revision>3</cp:revision>
  <dcterms:created xsi:type="dcterms:W3CDTF">2026-10-13T08:20:00Z</dcterms:created>
  <dcterms:modified xsi:type="dcterms:W3CDTF">2026-10-13T08:20:00Z</dcterms:modified>
</cp:coreProperties>
</file>